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4D9B8">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2416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1450" w:type="dxa"/>
            <w:vMerge w:val="restart"/>
            <w:vAlign w:val="center"/>
          </w:tcPr>
          <w:p w14:paraId="3579C6A4">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14:paraId="47C0DAC4">
            <w:pPr>
              <w:spacing w:line="260" w:lineRule="exact"/>
              <w:rPr>
                <w:rFonts w:ascii="华文中宋" w:hAnsi="华文中宋" w:eastAsia="华文中宋"/>
                <w:color w:val="000000"/>
                <w:sz w:val="28"/>
              </w:rPr>
            </w:pPr>
            <w:r>
              <w:rPr>
                <w:rFonts w:hint="eastAsia" w:hAnsi="仿宋_GB2312" w:cs="仿宋_GB2312"/>
                <w:color w:val="000000" w:themeColor="text1"/>
                <w:sz w:val="21"/>
                <w:szCs w:val="21"/>
                <w14:textFill>
                  <w14:solidFill>
                    <w14:schemeClr w14:val="tx1"/>
                  </w14:solidFill>
                </w14:textFill>
              </w:rPr>
              <w:t>直播丨院士来了！袁亚湘院士带你解密数学之“美”</w:t>
            </w:r>
          </w:p>
        </w:tc>
        <w:tc>
          <w:tcPr>
            <w:tcW w:w="1356" w:type="dxa"/>
            <w:gridSpan w:val="2"/>
            <w:vAlign w:val="center"/>
          </w:tcPr>
          <w:p w14:paraId="3CBDCB43">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14:paraId="0B41C2CE">
            <w:pPr>
              <w:spacing w:line="260" w:lineRule="exact"/>
              <w:rPr>
                <w:rFonts w:hint="default"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新闻直播</w:t>
            </w:r>
          </w:p>
        </w:tc>
      </w:tr>
      <w:tr w14:paraId="5611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6581C40D">
            <w:pPr>
              <w:spacing w:line="380" w:lineRule="exact"/>
              <w:ind w:firstLine="560"/>
              <w:rPr>
                <w:rFonts w:ascii="华文中宋" w:hAnsi="华文中宋" w:eastAsia="华文中宋"/>
                <w:color w:val="000000"/>
                <w:sz w:val="28"/>
              </w:rPr>
            </w:pPr>
          </w:p>
        </w:tc>
        <w:tc>
          <w:tcPr>
            <w:tcW w:w="3534" w:type="dxa"/>
            <w:gridSpan w:val="4"/>
            <w:vMerge w:val="continue"/>
            <w:vAlign w:val="center"/>
          </w:tcPr>
          <w:p w14:paraId="7AB3277F">
            <w:pPr>
              <w:spacing w:line="380" w:lineRule="exact"/>
              <w:ind w:firstLine="560"/>
              <w:rPr>
                <w:rFonts w:ascii="华文中宋" w:hAnsi="华文中宋" w:eastAsia="华文中宋"/>
                <w:color w:val="000000"/>
                <w:sz w:val="28"/>
              </w:rPr>
            </w:pPr>
          </w:p>
        </w:tc>
        <w:tc>
          <w:tcPr>
            <w:tcW w:w="1356" w:type="dxa"/>
            <w:gridSpan w:val="2"/>
            <w:vAlign w:val="center"/>
          </w:tcPr>
          <w:p w14:paraId="3E49C9C5">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14:paraId="232CF10A">
            <w:pPr>
              <w:spacing w:line="260" w:lineRule="exact"/>
              <w:rPr>
                <w:rFonts w:hint="default"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新媒体新闻直播</w:t>
            </w:r>
          </w:p>
        </w:tc>
      </w:tr>
      <w:tr w14:paraId="413B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2810F02A">
            <w:pPr>
              <w:spacing w:line="380" w:lineRule="exact"/>
              <w:ind w:firstLine="560"/>
              <w:rPr>
                <w:rFonts w:ascii="华文中宋" w:hAnsi="华文中宋" w:eastAsia="华文中宋"/>
                <w:color w:val="000000"/>
                <w:sz w:val="28"/>
              </w:rPr>
            </w:pPr>
          </w:p>
        </w:tc>
        <w:tc>
          <w:tcPr>
            <w:tcW w:w="3534" w:type="dxa"/>
            <w:gridSpan w:val="4"/>
            <w:vMerge w:val="continue"/>
            <w:vAlign w:val="center"/>
          </w:tcPr>
          <w:p w14:paraId="3912F226">
            <w:pPr>
              <w:spacing w:line="380" w:lineRule="exact"/>
              <w:ind w:firstLine="560"/>
              <w:rPr>
                <w:rFonts w:ascii="华文中宋" w:hAnsi="华文中宋" w:eastAsia="华文中宋"/>
                <w:color w:val="000000"/>
                <w:sz w:val="28"/>
              </w:rPr>
            </w:pPr>
          </w:p>
        </w:tc>
        <w:tc>
          <w:tcPr>
            <w:tcW w:w="1356" w:type="dxa"/>
            <w:gridSpan w:val="2"/>
            <w:vAlign w:val="center"/>
          </w:tcPr>
          <w:p w14:paraId="5E8631BC">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14:paraId="307E0D63">
            <w:pPr>
              <w:spacing w:line="260" w:lineRule="exact"/>
              <w:rPr>
                <w:rFonts w:hint="eastAsia" w:hAnsi="仿宋_GB2312" w:cs="仿宋_GB2312"/>
                <w:color w:val="000000" w:themeColor="text1"/>
                <w:sz w:val="21"/>
                <w:szCs w:val="21"/>
                <w:lang w:eastAsia="zh-CN"/>
                <w14:textFill>
                  <w14:solidFill>
                    <w14:schemeClr w14:val="tx1"/>
                  </w14:solidFill>
                </w14:textFill>
              </w:rPr>
            </w:pPr>
          </w:p>
        </w:tc>
      </w:tr>
      <w:tr w14:paraId="2520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0197383E">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14:paraId="37C716BB">
            <w:pPr>
              <w:spacing w:line="320" w:lineRule="exact"/>
              <w:rPr>
                <w:rFonts w:ascii="华文中宋" w:hAnsi="华文中宋" w:eastAsia="华文中宋"/>
                <w:color w:val="000000"/>
                <w:spacing w:val="-12"/>
              </w:rPr>
            </w:pPr>
            <w:r>
              <w:rPr>
                <w:rFonts w:hint="eastAsia" w:ascii="华文中宋" w:hAnsi="华文中宋" w:eastAsia="华文中宋"/>
                <w:color w:val="000000"/>
                <w:spacing w:val="-12"/>
              </w:rPr>
              <w:t>（主创人员）</w:t>
            </w:r>
          </w:p>
        </w:tc>
        <w:tc>
          <w:tcPr>
            <w:tcW w:w="2679" w:type="dxa"/>
            <w:gridSpan w:val="2"/>
            <w:vAlign w:val="center"/>
          </w:tcPr>
          <w:p w14:paraId="6B2971DD">
            <w:pPr>
              <w:spacing w:line="260" w:lineRule="exact"/>
              <w:jc w:val="left"/>
              <w:rPr>
                <w:rFonts w:hint="eastAsia"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集体（</w:t>
            </w:r>
            <w:r>
              <w:rPr>
                <w:rFonts w:hint="eastAsia" w:hAnsi="仿宋_GB2312" w:cs="仿宋_GB2312"/>
                <w:color w:val="000000" w:themeColor="text1"/>
                <w:sz w:val="21"/>
                <w:szCs w:val="21"/>
                <w14:textFill>
                  <w14:solidFill>
                    <w14:schemeClr w14:val="tx1"/>
                  </w14:solidFill>
                </w14:textFill>
              </w:rPr>
              <w:t>郭萧 龚文 童臻熙 李健 徐行 宋太桓 汤旖 杨薇 陈丽斯 蒋诗雨 朱晓华 袁欣 胡顺 杨帆 徐荣 范莉娜 黄维 曾善美 龙力 谢倩 王燕 李雨霏  肖婷婷 李佳玲 陈洁</w:t>
            </w:r>
            <w:r>
              <w:rPr>
                <w:rFonts w:hint="eastAsia" w:hAnsi="仿宋_GB2312" w:cs="仿宋_GB2312"/>
                <w:color w:val="000000" w:themeColor="text1"/>
                <w:sz w:val="21"/>
                <w:szCs w:val="21"/>
                <w:lang w:eastAsia="zh-CN"/>
                <w14:textFill>
                  <w14:solidFill>
                    <w14:schemeClr w14:val="tx1"/>
                  </w14:solidFill>
                </w14:textFill>
              </w:rPr>
              <w:t>）</w:t>
            </w:r>
          </w:p>
        </w:tc>
        <w:tc>
          <w:tcPr>
            <w:tcW w:w="855" w:type="dxa"/>
            <w:gridSpan w:val="2"/>
            <w:vAlign w:val="center"/>
          </w:tcPr>
          <w:p w14:paraId="6BC2122B">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14:paraId="738EB26B">
            <w:pPr>
              <w:spacing w:line="260" w:lineRule="exact"/>
              <w:rPr>
                <w:rFonts w:hint="eastAsia" w:hAnsi="仿宋_GB2312" w:cs="仿宋_GB2312"/>
                <w:color w:val="000000" w:themeColor="text1"/>
                <w:sz w:val="21"/>
                <w:szCs w:val="21"/>
                <w14:textFill>
                  <w14:solidFill>
                    <w14:schemeClr w14:val="tx1"/>
                  </w14:solidFill>
                </w14:textFill>
              </w:rPr>
            </w:pPr>
            <w:r>
              <w:rPr>
                <w:rFonts w:hint="eastAsia" w:hAnsi="仿宋_GB2312" w:cs="仿宋_GB2312"/>
                <w:color w:val="000000" w:themeColor="text1"/>
                <w:sz w:val="21"/>
                <w:szCs w:val="21"/>
                <w14:textFill>
                  <w14:solidFill>
                    <w14:schemeClr w14:val="tx1"/>
                  </w14:solidFill>
                </w14:textFill>
              </w:rPr>
              <w:t>禹振华 盛伟山 曾益</w:t>
            </w:r>
          </w:p>
        </w:tc>
      </w:tr>
      <w:tr w14:paraId="6F62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1B61ADFD">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14:paraId="785ADB3E">
            <w:pPr>
              <w:spacing w:line="260" w:lineRule="exact"/>
              <w:rPr>
                <w:rFonts w:hint="default"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湖南日报湘视频道</w:t>
            </w:r>
          </w:p>
        </w:tc>
        <w:tc>
          <w:tcPr>
            <w:tcW w:w="855" w:type="dxa"/>
            <w:gridSpan w:val="2"/>
            <w:vAlign w:val="center"/>
          </w:tcPr>
          <w:p w14:paraId="35090B41">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14:paraId="570CB042">
            <w:pPr>
              <w:spacing w:line="260" w:lineRule="exact"/>
              <w:rPr>
                <w:rFonts w:hint="default"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湖南日报社</w:t>
            </w:r>
          </w:p>
        </w:tc>
      </w:tr>
      <w:tr w14:paraId="4BCB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exact"/>
          <w:jc w:val="center"/>
        </w:trPr>
        <w:tc>
          <w:tcPr>
            <w:tcW w:w="1450" w:type="dxa"/>
            <w:vAlign w:val="center"/>
          </w:tcPr>
          <w:p w14:paraId="132A7A66">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rPr>
              <w:t>名称和版次)</w:t>
            </w:r>
          </w:p>
        </w:tc>
        <w:tc>
          <w:tcPr>
            <w:tcW w:w="2679" w:type="dxa"/>
            <w:gridSpan w:val="2"/>
            <w:vAlign w:val="center"/>
          </w:tcPr>
          <w:p w14:paraId="2A2AFF3E">
            <w:pPr>
              <w:spacing w:line="260" w:lineRule="exact"/>
              <w:rPr>
                <w:rFonts w:hint="default"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新湖南客户端湘视频道</w:t>
            </w:r>
          </w:p>
        </w:tc>
        <w:tc>
          <w:tcPr>
            <w:tcW w:w="855" w:type="dxa"/>
            <w:gridSpan w:val="2"/>
            <w:vAlign w:val="center"/>
          </w:tcPr>
          <w:p w14:paraId="631F74A2">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14:paraId="6D49A75F">
            <w:pPr>
              <w:spacing w:line="260" w:lineRule="exact"/>
              <w:rPr>
                <w:rFonts w:hint="default"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2024年8月7日</w:t>
            </w:r>
          </w:p>
        </w:tc>
      </w:tr>
      <w:tr w14:paraId="21E7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03E62DB9">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14:paraId="11C0E94F">
            <w:pPr>
              <w:spacing w:line="260" w:lineRule="exact"/>
              <w:jc w:val="left"/>
              <w:rPr>
                <w:rFonts w:hAnsi="仿宋_GB2312" w:cs="仿宋_GB2312"/>
                <w:color w:val="000000"/>
                <w:sz w:val="21"/>
                <w:szCs w:val="21"/>
              </w:rPr>
            </w:pPr>
            <w:r>
              <w:rPr>
                <w:rFonts w:hint="eastAsia" w:hAnsi="仿宋_GB2312" w:cs="仿宋_GB2312"/>
                <w:color w:val="000000" w:themeColor="text1"/>
                <w:sz w:val="21"/>
                <w:szCs w:val="21"/>
                <w:lang w:val="en-US" w:eastAsia="zh-CN"/>
                <w14:textFill>
                  <w14:solidFill>
                    <w14:schemeClr w14:val="tx1"/>
                  </w14:solidFill>
                </w14:textFill>
              </w:rPr>
              <w:t>https://live-hudong.hnol.net/xhnlive/9/d527faf7f94723a7b233ea61abfe7a5c.html</w:t>
            </w:r>
          </w:p>
        </w:tc>
      </w:tr>
      <w:tr w14:paraId="5ABB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3" w:hRule="atLeast"/>
          <w:jc w:val="center"/>
        </w:trPr>
        <w:tc>
          <w:tcPr>
            <w:tcW w:w="1450" w:type="dxa"/>
            <w:vAlign w:val="center"/>
          </w:tcPr>
          <w:p w14:paraId="23850462">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14:paraId="1D2DC2E0">
            <w:pPr>
              <w:spacing w:line="340" w:lineRule="exact"/>
              <w:rPr>
                <w:rFonts w:ascii="华文中宋" w:hAnsi="华文中宋" w:eastAsia="华文中宋"/>
                <w:color w:val="000000"/>
                <w:sz w:val="28"/>
              </w:rPr>
            </w:pPr>
            <w:r>
              <w:rPr>
                <w:rFonts w:hint="eastAsia" w:ascii="华文中宋" w:hAnsi="华文中宋" w:eastAsia="华文中宋"/>
                <w:color w:val="000000"/>
                <w:sz w:val="28"/>
              </w:rPr>
              <w:t>作采</w:t>
            </w:r>
          </w:p>
          <w:p w14:paraId="0AD827F8">
            <w:pPr>
              <w:spacing w:line="340" w:lineRule="exact"/>
              <w:rPr>
                <w:rFonts w:ascii="华文中宋" w:hAnsi="华文中宋" w:eastAsia="华文中宋"/>
                <w:color w:val="000000"/>
                <w:sz w:val="28"/>
              </w:rPr>
            </w:pPr>
            <w:r>
              <w:rPr>
                <w:rFonts w:hint="eastAsia" w:ascii="华文中宋" w:hAnsi="华文中宋" w:eastAsia="华文中宋"/>
                <w:color w:val="000000"/>
                <w:sz w:val="28"/>
              </w:rPr>
              <w:t>品编</w:t>
            </w:r>
          </w:p>
          <w:p w14:paraId="7FC9C264">
            <w:pPr>
              <w:spacing w:line="340" w:lineRule="exact"/>
              <w:rPr>
                <w:rFonts w:ascii="华文中宋" w:hAnsi="华文中宋" w:eastAsia="华文中宋"/>
                <w:color w:val="000000"/>
                <w:sz w:val="28"/>
              </w:rPr>
            </w:pPr>
            <w:r>
              <w:rPr>
                <w:rFonts w:hint="eastAsia" w:ascii="华文中宋" w:hAnsi="华文中宋" w:eastAsia="华文中宋"/>
                <w:color w:val="000000"/>
                <w:sz w:val="28"/>
              </w:rPr>
              <w:t>简过</w:t>
            </w:r>
          </w:p>
          <w:p w14:paraId="61CE38BD">
            <w:pPr>
              <w:spacing w:line="340" w:lineRule="exact"/>
              <w:rPr>
                <w:rFonts w:ascii="华文中宋" w:hAnsi="华文中宋" w:eastAsia="华文中宋"/>
                <w:color w:val="000000"/>
                <w:sz w:val="28"/>
              </w:rPr>
            </w:pPr>
            <w:r>
              <w:rPr>
                <w:rFonts w:hint="eastAsia" w:ascii="华文中宋" w:hAnsi="华文中宋" w:eastAsia="华文中宋"/>
                <w:color w:val="000000"/>
                <w:sz w:val="28"/>
              </w:rPr>
              <w:t>介程</w:t>
            </w:r>
          </w:p>
          <w:p w14:paraId="0D8282C8">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14:paraId="7AE2F73A">
            <w:pPr>
              <w:spacing w:line="260" w:lineRule="exact"/>
              <w:ind w:firstLine="420" w:firstLineChars="200"/>
              <w:jc w:val="left"/>
              <w:rPr>
                <w:rFonts w:hint="eastAsia"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作为一门基础学科，数学愈来愈受到国家和社会的重视与关注。近年来，人工智能、大数据、先进制造、金融、生物医药等诸多领域取得的重大科技突破，都是以数学的发展和进步为基础。</w:t>
            </w:r>
          </w:p>
          <w:p w14:paraId="2898D3AF">
            <w:pPr>
              <w:spacing w:line="260" w:lineRule="exact"/>
              <w:ind w:firstLine="420" w:firstLineChars="200"/>
              <w:jc w:val="left"/>
              <w:rPr>
                <w:rFonts w:hint="eastAsia" w:hAnsi="仿宋_GB2312" w:cs="仿宋_GB2312"/>
                <w:color w:val="000000" w:themeColor="text1"/>
                <w:sz w:val="21"/>
                <w:szCs w:val="21"/>
                <w:lang w:val="en-US" w:eastAsia="zh-CN"/>
                <w14:textFill>
                  <w14:solidFill>
                    <w14:schemeClr w14:val="tx1"/>
                  </w14:solidFill>
                </w14:textFill>
              </w:rPr>
            </w:pPr>
            <w:r>
              <w:rPr>
                <w:rFonts w:hint="eastAsia" w:hAnsi="仿宋_GB2312" w:cs="仿宋_GB2312"/>
                <w:color w:val="000000" w:themeColor="text1"/>
                <w:sz w:val="21"/>
                <w:szCs w:val="21"/>
                <w:lang w:val="en-US" w:eastAsia="zh-CN"/>
                <w14:textFill>
                  <w14:solidFill>
                    <w14:schemeClr w14:val="tx1"/>
                  </w14:solidFill>
                </w14:textFill>
              </w:rPr>
              <w:t>对于普通人来说，数学是抽象的，数学也是高深的，如何培养孩子们对数学的兴趣？如何才能学好这门看似枯燥的学科？</w:t>
            </w:r>
          </w:p>
          <w:p w14:paraId="0DB18B5D">
            <w:pPr>
              <w:spacing w:line="260" w:lineRule="exact"/>
              <w:ind w:firstLine="420" w:firstLineChars="200"/>
              <w:jc w:val="left"/>
              <w:rPr>
                <w:rFonts w:ascii="仿宋" w:hAnsi="仿宋" w:eastAsia="仿宋"/>
                <w:color w:val="000000"/>
                <w:w w:val="95"/>
                <w:szCs w:val="21"/>
              </w:rPr>
            </w:pPr>
            <w:r>
              <w:rPr>
                <w:rFonts w:hint="eastAsia" w:hAnsi="仿宋_GB2312" w:cs="仿宋_GB2312"/>
                <w:color w:val="000000" w:themeColor="text1"/>
                <w:sz w:val="21"/>
                <w:szCs w:val="21"/>
                <w:lang w:val="en-US" w:eastAsia="zh-CN"/>
                <w14:textFill>
                  <w14:solidFill>
                    <w14:schemeClr w14:val="tx1"/>
                  </w14:solidFill>
                </w14:textFill>
              </w:rPr>
              <w:t>针对此话题，湖南日报对中国科学院数学与系统科学研究院研究员袁亚湘院士进行专访，代表家乡媒体对话行业顶尖科学家，从孩子的视角来认识数学、解读数学，鼓励广大青少年从小树立科技报国之志，并为他们打开通往科学圣殿之门。</w:t>
            </w:r>
          </w:p>
        </w:tc>
      </w:tr>
      <w:tr w14:paraId="78F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exact"/>
          <w:jc w:val="center"/>
        </w:trPr>
        <w:tc>
          <w:tcPr>
            <w:tcW w:w="1450" w:type="dxa"/>
            <w:vAlign w:val="center"/>
          </w:tcPr>
          <w:p w14:paraId="6EBCA0C3">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14:paraId="5F360989">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14:paraId="77F8B991">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14:paraId="5E5DDDA4">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14:paraId="4E1E78FE">
            <w:pPr>
              <w:spacing w:line="320" w:lineRule="exact"/>
              <w:ind w:firstLine="420" w:firstLineChars="200"/>
              <w:jc w:val="both"/>
              <w:rPr>
                <w:rFonts w:ascii="仿宋" w:hAnsi="仿宋" w:eastAsia="仿宋"/>
                <w:color w:val="000000"/>
                <w:szCs w:val="21"/>
              </w:rPr>
            </w:pPr>
            <w:r>
              <w:rPr>
                <w:rFonts w:hint="eastAsia" w:hAnsi="仿宋_GB2312" w:cs="仿宋_GB2312"/>
                <w:color w:val="000000"/>
                <w:sz w:val="21"/>
                <w:szCs w:val="21"/>
              </w:rPr>
              <w:t>通过权威科学家以通俗语言阐释数学魅力，打破学科“高冷”印象，激发青少年好奇心与探索欲，为数学教育注入亲和力。袁院士作为湖南籍科学家，以自身经历鼓励青少年“科技报国”，将个人兴趣与国家需求结合，为青少年树立榜样</w:t>
            </w:r>
            <w:r>
              <w:rPr>
                <w:rFonts w:hint="eastAsia" w:hAnsi="仿宋_GB2312" w:cs="仿宋_GB2312"/>
                <w:color w:val="000000"/>
                <w:sz w:val="21"/>
                <w:szCs w:val="21"/>
                <w:lang w:eastAsia="zh-CN"/>
              </w:rPr>
              <w:t>。</w:t>
            </w:r>
            <w:r>
              <w:rPr>
                <w:rFonts w:hint="eastAsia" w:hAnsi="仿宋_GB2312" w:cs="仿宋_GB2312"/>
                <w:color w:val="000000"/>
                <w:sz w:val="21"/>
                <w:szCs w:val="21"/>
              </w:rPr>
              <w:t>媒体与顶尖学者联动，以接地气的对话形式传递科学理念，拓宽了科普路径</w:t>
            </w:r>
            <w:r>
              <w:rPr>
                <w:rFonts w:hint="eastAsia" w:hAnsi="仿宋_GB2312" w:cs="仿宋_GB2312"/>
                <w:color w:val="000000"/>
                <w:sz w:val="21"/>
                <w:szCs w:val="21"/>
                <w:lang w:eastAsia="zh-CN"/>
              </w:rPr>
              <w:t>。</w:t>
            </w:r>
          </w:p>
        </w:tc>
      </w:tr>
      <w:tr w14:paraId="6061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exact"/>
          <w:jc w:val="center"/>
        </w:trPr>
        <w:tc>
          <w:tcPr>
            <w:tcW w:w="1450" w:type="dxa"/>
            <w:vAlign w:val="center"/>
          </w:tcPr>
          <w:p w14:paraId="532D43BB">
            <w:pPr>
              <w:spacing w:line="38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14:paraId="552B2133">
            <w:pPr>
              <w:spacing w:line="380" w:lineRule="exact"/>
              <w:rPr>
                <w:rFonts w:ascii="华文中宋" w:hAnsi="华文中宋" w:eastAsia="华文中宋"/>
                <w:color w:val="000000"/>
                <w:sz w:val="28"/>
              </w:rPr>
            </w:pPr>
            <w:r>
              <w:rPr>
                <w:rFonts w:hint="eastAsia" w:ascii="华文中宋" w:hAnsi="华文中宋" w:eastAsia="华文中宋"/>
                <w:color w:val="000000"/>
                <w:sz w:val="28"/>
              </w:rPr>
              <w:t>初推</w:t>
            </w:r>
          </w:p>
          <w:p w14:paraId="141810FD">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评荐</w:t>
            </w:r>
          </w:p>
          <w:p w14:paraId="7B68DCED">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评理</w:t>
            </w:r>
          </w:p>
          <w:p w14:paraId="5E9D1780">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语由</w:t>
            </w:r>
          </w:p>
          <w:p w14:paraId="10389319">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14:paraId="4AC052A6">
            <w:pPr>
              <w:spacing w:line="320" w:lineRule="exact"/>
              <w:ind w:firstLine="420" w:firstLineChars="200"/>
              <w:jc w:val="both"/>
              <w:rPr>
                <w:rFonts w:ascii="华文中宋" w:hAnsi="华文中宋" w:eastAsia="华文中宋"/>
                <w:color w:val="000000"/>
                <w:spacing w:val="-2"/>
                <w:sz w:val="28"/>
              </w:rPr>
            </w:pPr>
            <w:r>
              <w:rPr>
                <w:rFonts w:hint="eastAsia" w:hAnsi="仿宋_GB2312" w:cs="仿宋_GB2312"/>
                <w:color w:val="000000"/>
                <w:sz w:val="21"/>
                <w:szCs w:val="21"/>
              </w:rPr>
              <w:t xml:space="preserve">通过专访中国科学院院士袁亚湘，以通俗易懂的语言向公众尤其是青少年揭示了数学的魅力，打破了数学学科“高冷”的传统印象。这种媒体与顶尖学者的联动，不仅为数学教育注入了亲和力，也为青少年打开了通往科学圣殿的大门，具有重要的社会意义和科普价值。 </w:t>
            </w:r>
            <w:r>
              <w:rPr>
                <w:rFonts w:hint="eastAsia" w:ascii="华文中宋" w:hAnsi="华文中宋" w:eastAsia="华文中宋"/>
                <w:color w:val="000000"/>
                <w:spacing w:val="-2"/>
                <w:sz w:val="28"/>
              </w:rPr>
              <w:t xml:space="preserve">                     </w:t>
            </w:r>
          </w:p>
          <w:p w14:paraId="1CF0B0D0">
            <w:pPr>
              <w:spacing w:line="360" w:lineRule="exact"/>
              <w:ind w:left="3840" w:leftChars="1600"/>
              <w:rPr>
                <w:rFonts w:ascii="华文中宋" w:hAnsi="华文中宋" w:eastAsia="华文中宋"/>
                <w:color w:val="000000"/>
                <w:sz w:val="28"/>
              </w:rPr>
            </w:pPr>
            <w:r>
              <w:rPr>
                <w:rFonts w:hint="eastAsia" w:ascii="华文中宋" w:hAnsi="华文中宋" w:eastAsia="华文中宋"/>
                <w:color w:val="000000"/>
                <w:spacing w:val="-2"/>
                <w:sz w:val="28"/>
              </w:rPr>
              <w:t>签名：</w:t>
            </w:r>
            <w:r>
              <w:rPr>
                <w:rFonts w:hint="eastAsia" w:ascii="华文中宋" w:hAnsi="华文中宋" w:eastAsia="华文中宋"/>
                <w:color w:val="000000"/>
                <w:sz w:val="28"/>
              </w:rPr>
              <w:t>（盖单位公章）</w:t>
            </w:r>
          </w:p>
          <w:p w14:paraId="640D43AC">
            <w:pPr>
              <w:ind w:left="3840" w:leftChars="1600"/>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25</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14:paraId="2A832A87">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450" w:type="dxa"/>
            <w:tcBorders>
              <w:bottom w:val="single" w:color="auto" w:sz="4" w:space="0"/>
            </w:tcBorders>
            <w:vAlign w:val="center"/>
          </w:tcPr>
          <w:p w14:paraId="4D5BC9FE">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联系人（作者）</w:t>
            </w:r>
          </w:p>
        </w:tc>
        <w:tc>
          <w:tcPr>
            <w:tcW w:w="2957" w:type="dxa"/>
            <w:gridSpan w:val="3"/>
            <w:tcBorders>
              <w:bottom w:val="single" w:color="auto" w:sz="4" w:space="0"/>
            </w:tcBorders>
            <w:vAlign w:val="center"/>
          </w:tcPr>
          <w:p w14:paraId="6BACA2AF">
            <w:pPr>
              <w:spacing w:line="260" w:lineRule="exact"/>
              <w:rPr>
                <w:rFonts w:hint="default" w:ascii="华文中宋" w:hAnsi="华文中宋" w:eastAsia="华文中宋"/>
                <w:color w:val="000000"/>
                <w:sz w:val="28"/>
                <w:lang w:val="en-US" w:eastAsia="zh-CN"/>
              </w:rPr>
            </w:pPr>
            <w:r>
              <w:rPr>
                <w:rFonts w:hint="eastAsia" w:hAnsi="仿宋_GB2312" w:cs="仿宋_GB2312"/>
                <w:color w:val="000000" w:themeColor="text1"/>
                <w:sz w:val="21"/>
                <w:szCs w:val="21"/>
                <w:lang w:val="en-US" w:eastAsia="zh-CN"/>
                <w14:textFill>
                  <w14:solidFill>
                    <w14:schemeClr w14:val="tx1"/>
                  </w14:solidFill>
                </w14:textFill>
              </w:rPr>
              <w:t>曾益</w:t>
            </w:r>
          </w:p>
        </w:tc>
        <w:tc>
          <w:tcPr>
            <w:tcW w:w="1137" w:type="dxa"/>
            <w:gridSpan w:val="2"/>
            <w:tcBorders>
              <w:bottom w:val="single" w:color="auto" w:sz="4" w:space="0"/>
            </w:tcBorders>
            <w:vAlign w:val="center"/>
          </w:tcPr>
          <w:p w14:paraId="60F00ADF">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14:paraId="199C84CE">
            <w:pPr>
              <w:spacing w:line="260" w:lineRule="exact"/>
              <w:rPr>
                <w:rFonts w:hint="default" w:ascii="华文中宋" w:hAnsi="华文中宋" w:eastAsia="华文中宋"/>
                <w:color w:val="000000"/>
                <w:sz w:val="28"/>
                <w:lang w:val="en-US" w:eastAsia="zh-CN"/>
              </w:rPr>
            </w:pPr>
            <w:r>
              <w:rPr>
                <w:rFonts w:hint="eastAsia" w:hAnsi="仿宋_GB2312" w:cs="仿宋_GB2312"/>
                <w:color w:val="000000" w:themeColor="text1"/>
                <w:sz w:val="21"/>
                <w:szCs w:val="21"/>
                <w:lang w:val="en-US" w:eastAsia="zh-CN"/>
                <w14:textFill>
                  <w14:solidFill>
                    <w14:schemeClr w14:val="tx1"/>
                  </w14:solidFill>
                </w14:textFill>
              </w:rPr>
              <w:t>18684883638</w:t>
            </w:r>
          </w:p>
        </w:tc>
      </w:tr>
    </w:tbl>
    <w:p w14:paraId="2B057072">
      <w:pPr>
        <w:jc w:val="both"/>
        <w:rPr>
          <w:rFonts w:hint="eastAsia"/>
        </w:rPr>
      </w:pPr>
      <w:bookmarkStart w:id="0" w:name="_GoBack"/>
      <w:bookmarkEnd w:id="0"/>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228"/>
    </w:sdtPr>
    <w:sdtEndPr>
      <w:rPr>
        <w:rFonts w:asciiTheme="minorEastAsia" w:hAnsiTheme="minorEastAsia" w:eastAsiaTheme="minorEastAsia"/>
        <w:sz w:val="24"/>
        <w:szCs w:val="24"/>
      </w:rPr>
    </w:sdtEndPr>
    <w:sdtContent>
      <w:p w14:paraId="77B9EC8A">
        <w:pPr>
          <w:pStyle w:val="3"/>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5037E"/>
    <w:rsid w:val="1A356C9C"/>
    <w:rsid w:val="3EE319EC"/>
    <w:rsid w:val="4EAD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750</Words>
  <Characters>841</Characters>
  <Lines>0</Lines>
  <Paragraphs>0</Paragraphs>
  <TotalTime>1</TotalTime>
  <ScaleCrop>false</ScaleCrop>
  <LinksUpToDate>false</LinksUpToDate>
  <CharactersWithSpaces>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2025-03-05T02:35:00Z</dcterms:created>
  <dc:creator>admin</dc:creator>
  <cp:lastModifiedBy>0</cp:lastModifiedBy>
  <dcterms:modified xsi:type="dcterms:W3CDTF">2025-03-05T03:07:45Z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eyJoZGlkIjoiOWMxYjQ5NDk1YWQ3ZTkwMmUyNTg1MTA0MzFjNDVhZjgiLCJ1c2VySWQiOiIzNDM5NDk0NTUifQ==</vt:lpwstr>
  </property>
  <property fmtid="{D5CDD505-2E9C-101B-9397-08002B2CF9AE}" pid="4" name="ICV">
    <vt:lpwstr>4AD2BA4234034CE9A6FE0F09EE309D7B_13</vt:lpwstr>
  </property>
</Properties>
</file>