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97D2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SA"/>
        </w:rPr>
      </w:pPr>
      <w:r>
        <w:rPr>
          <w:rFonts w:hint="eastAsia" w:ascii="方正小标宋简体" w:hAnsi="方正小标宋简体" w:eastAsia="方正小标宋简体" w:cs="方正小标宋简体"/>
          <w:i w:val="0"/>
          <w:iCs w:val="0"/>
          <w:color w:val="000000"/>
          <w:kern w:val="0"/>
          <w:sz w:val="40"/>
          <w:szCs w:val="40"/>
          <w:u w:val="none"/>
          <w:lang w:val="en-US" w:eastAsia="zh-CN" w:bidi="ar-SA"/>
        </w:rPr>
        <w:t>应用场景能力清单</w:t>
      </w:r>
    </w:p>
    <w:p w14:paraId="7EE9F4F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SA"/>
        </w:rPr>
      </w:pPr>
    </w:p>
    <w:tbl>
      <w:tblPr>
        <w:tblStyle w:val="11"/>
        <w:tblW w:w="157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537"/>
        <w:gridCol w:w="1197"/>
        <w:gridCol w:w="2585"/>
        <w:gridCol w:w="7470"/>
        <w:gridCol w:w="1766"/>
        <w:gridCol w:w="2170"/>
      </w:tblGrid>
      <w:tr w14:paraId="50CA9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blHeade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62988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bidi="ar-SA"/>
              </w:rPr>
              <w:t>序号</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A632D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bidi="ar-SA"/>
              </w:rPr>
              <w:t>所属产业链</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061EC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bidi="ar-SA"/>
              </w:rPr>
              <w:t>产品/解决方案名称</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B297D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bidi="ar-SA"/>
              </w:rPr>
              <w:t>产品/解决方案介绍</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5F9E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bidi="ar-SA"/>
              </w:rPr>
              <w:t>发布单位</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74A2C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bidi="ar-SA"/>
              </w:rPr>
              <w:t>联系人及手机号</w:t>
            </w:r>
          </w:p>
        </w:tc>
      </w:tr>
      <w:tr w14:paraId="79D7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FDDF0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1</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F030C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工程机械</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B07D7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多功能跨运车</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EE0FF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color w:val="000000"/>
                <w:sz w:val="28"/>
                <w:szCs w:val="28"/>
                <w:u w:val="none"/>
                <w:lang w:val="en-US" w:eastAsia="zh-CN" w:bidi="ar-SA"/>
              </w:rPr>
              <w:t>我司生产的多功能跨运车主要应用于储能箱体、集装箱、油罐箱体及类似大型物件的转运、堆叠、装卸车等作业场景.相较传统的转运方式的痛点，如交叉作业难、室内吊机范围受限，装车效率低等，我司生产的跨运车具有转运灵活、易操作、效率高、稳定性强、安全性高等特点。公司组建了资深的非标设计团队，能为客户提供定制化服务，精准解决大件搬运过程中的各类难题。我司生产的跨运车目前在细分领域国内市场占有率达80%以上，多年稳居首位，深受好评。代表客户有比亚迪、宁德时代、国家电网、美国LG、海博思创等大型企业，回购率100%。</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7CD29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湖南盛势通科技有限公司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D6F1C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毛文知</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17773121573</w:t>
            </w:r>
          </w:p>
        </w:tc>
      </w:tr>
      <w:tr w14:paraId="02709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CA1B8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2</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5E71A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绿色农产品及食品加工</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801DB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杨梅采后减损贮藏保鲜方法</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3A109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集成了“采后处理+冰温贮藏+活性包装”的杨梅保鲜贮藏技术，目前已在农科院进行中试生产完毕，基本能达到保鲜15天杨梅的商品化率达90%以上，且经冷链运输后1天内依旧新鲜。</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B8310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怀化市农业科学研究院</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65409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夏旭</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18890356846</w:t>
            </w:r>
          </w:p>
        </w:tc>
      </w:tr>
      <w:tr w14:paraId="68667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4B4BC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3</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15283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绿色农产品及食品加工</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35B5B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第三代杂交水稻（广三系）育种技术</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8EE64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传统杂交水稻育种技术存在资源利用率低和受光温条件影响生产稳定性不足的问题，研究院创造性的将隐性核雄性不育基因应用于杂交水稻生产，在国际上首例成功创建了第三代水稻杂交育种（广三系）技术，在提高水稻种质资源利用率至接近100%的同时，又避免了光照和低温等自然条件对不育系育性的影响，提升了制种安全性，填补了国内外隐性单基因控制的核不育系在水稻生产应用上的空白。</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3387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怀化市作物分子设计育种研发中心</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249C0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陈雷</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13811954970</w:t>
            </w:r>
          </w:p>
        </w:tc>
      </w:tr>
      <w:tr w14:paraId="725BD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8FF26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4</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756A4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航空航天及北斗</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F7648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河道生态巡查</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97407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基于无人机多传感器融合与AI边缘计算技术，构建河道生态全要素智能监管体系。系统通过长航时无人机搭载高光谱相机及多参数水质传感器，沿河道网格化航线自动飞行采集数据；AI引擎实时识别非法采砂行为（船舶特征识别准确率≥95%）、污水偷排口（热异常+泡沫纹理分析）及漂浮污染物（种类分类精度90%），同步将水质参数空间分布图与历史数据动态比对。平台自动生成水利异常预警报告，秒级推送至河长制管理平台及执法终端，形成“监测-溯源-执法-修复”全链条闭环管理，助力水生态治理从被动响应转向主动防控。</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90E0D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长沙数字集团</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DBB0C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符鹏</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18684938085</w:t>
            </w:r>
          </w:p>
        </w:tc>
      </w:tr>
      <w:tr w14:paraId="03728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C0EA6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5</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47950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航空航天及北斗</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AD44B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违建巡查</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CA2DE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融合无人机倾斜摄影与AI三维重建技术，打造城市违建监控平台。系统通过无人机集群按规划网格自动执行厘米级精度航测（单架次覆盖2km²），基于激光雷达点云与可见光影像构建实景三维模型；AI算法自动比对规划审批数据库与历史航拍数据，精准识别新增违建（检测灵敏度0.5㎡）、违规加层（高度误差&lt;0.1m）及侵占红线（空间重叠分析），并通过变化检测技术过滤合法施工干扰。平台自动生成带空间坐标的违法证据包（含三维模型对比图），一键推送至城管执法系统并同步规划、国土部门数据库，实现“发现-举证-立案-拆除”全流程数字化协同，违建处置效率提升10倍。</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E78C6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长沙数字集团</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D4CC3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符鹏</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18684938085</w:t>
            </w:r>
          </w:p>
        </w:tc>
      </w:tr>
      <w:tr w14:paraId="7D921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3748D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6</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1B615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航空航天及北斗</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AD07B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多领域无人机智慧巡检系统</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6D42C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针对交通路网、农林生态、水务等多领域场景，打造全域数字化巡检解决方案：实现无人机巡检实时数据回传，助力预防性维护；动态监测农业作物、森林火险、水库坝体等,提升生态管理效率,实现隐患可视化追溯，全方位保障水利设施安全运行。系统以技术驱动为核心，为多行业提供高效、可靠的数字化巡检支持。</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1FCF2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衡阳群英飞航空科技有限公司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C276E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何美英</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13974859993</w:t>
            </w:r>
          </w:p>
        </w:tc>
      </w:tr>
      <w:tr w14:paraId="363F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93C3E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7</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30390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航空航天及北斗</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45FFD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航空科普教育营地</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E3FBF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打造面向全龄段的航空科普教育平台，融合飞行理论、无人机实践及人工智能课程，承办航空航天赛事、研学实践等特色项目，深化青少年对航空科学的认知，以竞赛与实践结合的形式激发创新潜能。聚焦无人机驾驶执照培训，提供从理论教学到实操飞行的全流程课程，涵盖民航法规、空域管理、应急处置等核心模块。打造"理论+实操+认证"的闭环培养模式，为不同年龄段学习者提供从兴趣启蒙到职业资质的进阶通道，全面助力航空人才培养与产业需求对接。</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0D2FA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衡阳群英飞航空科技有限公司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B842E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何美英</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13974859993</w:t>
            </w:r>
          </w:p>
        </w:tc>
      </w:tr>
      <w:tr w14:paraId="6799C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3A59E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8</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25C8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航空航天及北斗</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F2AC8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政务巡检</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9811E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在一定区域内，布置多台无人值守机巢，统筹至低空飞行服务平台，提高无人机作业范围和作业效率。无人机可挂载多种传感器如摄像头、气体采集、多光谱等设备，利用操控平台加载智慧中台即AI系统，对实时传输与储存的数据进行识别和分析，提升城市治理水平、加强公共管理效能。其应用范围涵盖：公安、城管、水利、应急、自规、农业农村、住建、交通等多个部门和场景。</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98EC9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湖南新翼智能科技发展有限公司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E7FF2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陈亚妮</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15886310935</w:t>
            </w:r>
          </w:p>
        </w:tc>
      </w:tr>
      <w:tr w14:paraId="42FCA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12E7C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9</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C268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航空航天及北斗</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5A75F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巡检复合翼无人机</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6DCE9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复合翼无人机能满足长续航大范围的应用场景，能作为巡检航拍等应用场景。复合翼无人机不需要长距离的跑道，能直接垂直起飞。复合翼最长滞空时间能达到12小时，飞行速度快，飞行高度高，能挂载很多设备。</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E54E4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湘潭无线电有限公司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8FA0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夏含信</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13528836085</w:t>
            </w:r>
          </w:p>
        </w:tc>
      </w:tr>
      <w:tr w14:paraId="4785C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E54C3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10</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A6D65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航空航天及北斗</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4A30A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应急照明系留无人机</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7FE32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系留无人机是通过电源线缆连接到无人机，采用地面电源箱供电。因此，系留无人机能长时间滞空，作为照明无人机，能为足球场大小的场地提供长时间照明，特别适合野外等应急场景的使用。</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C94C4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湘潭无线电有限公司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B0E23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夏含信</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13528836085</w:t>
            </w:r>
          </w:p>
        </w:tc>
      </w:tr>
      <w:tr w14:paraId="7828F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35C5D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11</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F664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航空航天及北斗</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BB715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光伏面板清洗无人机</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86D61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无人机内部装有30L或者50L水箱，通过不断转动喷嘴，对光伏面板的表面进行反复清洗。通过无人机清洗，比人工清洗的效率更高，成本也低。</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64E71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湘潭无线电有限公司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C7BD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夏含信</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13528836085</w:t>
            </w:r>
          </w:p>
        </w:tc>
      </w:tr>
      <w:tr w14:paraId="02479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D03B0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12</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3391B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航空航天及北斗</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778FB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载重物流无人机</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16FF3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六轴无人机具有30-50公斤的载重，能运输重要物质，如医用药品，也可以服务农业，从山顶运输经济作物到山底。</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E6F2F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湘潭无线电有限公司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0BFD4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夏含信</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13528836085</w:t>
            </w:r>
          </w:p>
        </w:tc>
      </w:tr>
      <w:tr w14:paraId="115C4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343DA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13</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5EBF3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航空航天及北斗</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C8DD8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通航旅游、会展、制造及机场服务</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1AEFF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推进A1类机场升级（800米跑道→3C级），联合申报省级通航小镇及国家4A景区，打造“制造+运营+文旅”全产业链枢纽，主导开发“猎玩通航小镇”（规划5000亩，拟投资26.4亿元）。</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3A115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湖南猎玩体育产业发展有限责任公司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278C3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周明</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18673066666</w:t>
            </w:r>
          </w:p>
        </w:tc>
      </w:tr>
      <w:tr w14:paraId="2FFE4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FFC97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14</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35298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航空航天及北斗</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AFBB5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提供飞行培训、机务保障服务</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4DAA9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2024年完成省级核准并投运，提供飞行培训、机务保障服务，未来拓展至3C等级承接中型固定翼飞机。</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69C6B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平江安定通用机场有限公司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C98EE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彭为卫</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13873054448</w:t>
            </w:r>
          </w:p>
        </w:tc>
      </w:tr>
      <w:tr w14:paraId="4E744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03F8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15</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008C2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装配式建筑</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A342B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保温楼承板</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BC4A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按照建好房子，住好房子的智能建造理念，我公司在全国范围内率先研发与混凝士同寿命的保温结构一体化产品“保温楼承板”。该产品在施工过程中具有工序少、易建性好、施工安全风险小、隔声的优点，彻底解决了当前保温材料施工工序复杂、施工安全风险大、易脱落空鼓、挤占室内空间、成本高等施工难点问题。同时进一步解决了因业主接受度不高，在装修期间铲除保温材料所造成的房屋保温系统破坏、资源浪费、制造垃圾的社会痛点问题。</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8F16B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湖南麓谷建筑科技有限公司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9AF37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杨武昆</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18230511200</w:t>
            </w:r>
          </w:p>
        </w:tc>
      </w:tr>
      <w:tr w14:paraId="33677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B0697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16</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482A6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磁浮交通</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6F6AF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磁悬浮输送系统</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39397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磁悬浮输送系统作为新一代工业传输方式，颠覆性解决了皮带、倍速链等传统机械传动模式存在的摩擦损耗、维护成本高、柔性化不足等问题，为现代工业生产提供高效、精确、灵活的物料流转平台。其核心优势在于产品与传输线、产品与产品之间的解耦能力，可灵活调整传输方式和速度，大幅提升产线的智能化与柔性化水平，满足多样化生产需求，广泛应用于消费电子、医药装备、包装机械、线束加工、汽车、光伏、锂电、激光、核工业等行业。磁悬浮输送系统创新性融合了先进电磁力控制、高精度定位检测与智能控制技术，实现无接触传输、精准定位、智能监测及预测性维护。能够实现最大速度5m/s，最大加速度100m/s²，重复定位精度±0.005mm。2024年10月，该技术获国家工业信息安全发展研究中心“国际先进”评价。</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7FB30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湖南凌翔磁浮科技有限责任公司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B8C8F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徐晶</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18397590898</w:t>
            </w:r>
          </w:p>
        </w:tc>
      </w:tr>
      <w:tr w14:paraId="711D2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C9906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17</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6A80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新能源</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5F081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市政环卫车辆（燃料电池清扫车、燃料电池压缩式垃圾车）</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08474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一、基本情况本场景聚焦市政环境清扫领域，针对城市道路清洗、垃圾收运等作业需求，开发并应用 BJ5182TXSFCEV1 氢燃料洗扫车、BJ5182ZYSFCEV1 氢燃料压缩车两款产品。洗扫车具备 9 种作业功能，覆盖道路清洗、清扫、降尘等场景；压缩车采用高强度钢及升级液压系统，支持多种垃圾收运方式，均适用于城市主干道、广场、居民区等复杂环境。两款车辆均采用氢燃料电池动力系统，替代传统燃油/锂电池环卫车，实现零尾气排放，解决传统车辆高污染、低温性能差、续航不足等问题。二、技术路线及可行性动力系统：搭载福田氢燃料电池专用底盘，匹配电机直驱风机、水泵、液压泵等作业装置，能量转换效率高，可达到90%以上。作业系统：洗扫车集成扫盘降尘、宽吸嘴清洗等装置，压缩车采用高压力液压系统（压缩密度 0.65~0.85），作业效率较同类产品提升50%。能源补给：采用5分钟快速加氢技术，续航里程达510km，适配现有加氢站网络。</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FE694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长沙普罗科环境装备有限责任公司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9042B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鲁芮</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18711061540</w:t>
            </w:r>
          </w:p>
        </w:tc>
      </w:tr>
      <w:tr w14:paraId="711CA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84ED7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18</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95B6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新能源</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E376D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工业窑炉低碳氢氧燃烧技术</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53BD7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color w:val="000000"/>
                <w:sz w:val="28"/>
                <w:szCs w:val="28"/>
                <w:u w:val="none"/>
                <w:lang w:val="en-US" w:eastAsia="zh-CN" w:bidi="ar-SA"/>
              </w:rPr>
              <w:t>工业窑炉氢氧燃烧（氢能+全氧）是利用绿电电解水制取的氢气（H₂）和氧气（O₂）燃烧反应的技术，反应释放大量能量，产物仅为水（H₂O），是高效、低碳的能源利用方式。用全氧（O₂）替代助燃风空气与氢气（H₂）燃烧，可实现近零碳排放和高能量密度输出，具有零碳排放和高能量密度特点，是未来清洁能源系统重要组成部分，是实现工业脱碳和高效能源转换重要路径， 为钢铁、陶瓷、玻璃、冶金等高温工业提供深度脱碳路径，大幅降低运营成本与碳排放。</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8C887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湖南润泽新能源科技有限公司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56CAB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赵权</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1561636333</w:t>
            </w:r>
          </w:p>
        </w:tc>
      </w:tr>
      <w:tr w14:paraId="036EF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A17EA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19</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E25EA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新能源</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88FDE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智慧电站为高速、铁路工程施工解决用电需求</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06B30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智慧电站是一种结合柴油发电机组与储能系统的混合动力供电解决方案，通过EMS能量管理系统实现智能调度，适用于工程施工领域的临时用电需求。该产品具有以下特点：1. 节能高效：通过柴储混动模式，降低油耗30%-40%，每升柴油发电量提升至3度以上。2. 稳定供电：毫秒级响应负载变化，保障电压和频率稳定，适用于高功率冲击性负荷场景。3. 环保低碳：支持与光伏、市电并网运行，减少碳排放。4. 智能管理：实时监测电能储存与使用，远程控制，数据分析。应用场景包括隧道掘进、桥梁施工、混凝土搅拌站等</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8FD6B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株洲九方装备股份有限公司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E1C5B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张洋</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15116076450</w:t>
            </w:r>
          </w:p>
        </w:tc>
      </w:tr>
      <w:tr w14:paraId="1B34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48F94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20</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E2A74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新能源</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8AEFC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华为全液冷超充解决方案，加速高压快充桩布局</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BEF44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color w:val="000000"/>
                <w:sz w:val="28"/>
                <w:szCs w:val="28"/>
                <w:u w:val="none"/>
                <w:lang w:val="en-US" w:eastAsia="zh-CN" w:bidi="ar-SA"/>
              </w:rPr>
              <w:t>华为全液冷超充桩是新一代电动汽车充电基础设施，采用创新的全液冷散热技术，具有以下核心优势：​1、高效充电能力：支持600kW最大输出功率，实现"一秒一公里"的极速充电体验，兼容主流电动车充电协议。​2、技术创新：全液冷散热系统，相比传统风冷方案：噪音降低50%以上；散热效率提升30%；设备寿命延长2-3倍；采用模块化设计，支持灵活扩容。4、节能环保：充电效率高达96%；支持光伏等可再生能源接入；低能耗待机模式。5、智能化管理：云端智能调度系统；支持V2G（车网互动）技术；大数据分析优化充电策略。该解决方案已在湖南长沙、株洲、永州、湘潭等地试点部署，单桩日均服务能力达100车次以上，故障率低于0.5%，用户满意度超过98%。特别适合在高速公路服务区、城市公共停车场、物流园区等场景大规模部署。</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0F84A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株洲九方装备股份有限公司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19EB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邹毅</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15807333395</w:t>
            </w:r>
          </w:p>
        </w:tc>
      </w:tr>
      <w:tr w14:paraId="3DD3D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6CCD9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21</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1623C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先进钢铁材料</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0EAC2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智能打磨工作站</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C84E0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产品介绍：通过机器人控制系统，根据工件材质和结构特点，灵活选配打磨工具，定制开发打磨软件，满足复杂零部件去毛刺打磨需求和信息化管理需求。适用场景：1. 铝镁合金压铸件的披锋打磨和毛刺去除；2. 发动机缸体、壳体、阀体等汽车零部件机加工后的毛刺去除；3. 焊接件的焊缝打磨等。</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C7575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株洲九方装备股份有限公司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7CE76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郭赐东</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15005194725</w:t>
            </w:r>
          </w:p>
        </w:tc>
      </w:tr>
      <w:tr w14:paraId="21DC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000C1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22</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41F2D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先进钢铁材料</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FC884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铸造材料成型</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52A05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主要产业为铸件材料及成品全品类铸件，具备熔炼、造型、抛丸、热处理、砂回收、焊接、探伤、质量检测等方面能力，有完整的铸钢、铸铝、铸铁、机加、试验检测的生产能力，励志打造智能、柔性、绿色、高效的铸件生产线。多零件集成铸钢件成型技术：高速重载轨道交通车辆转向架铸件结构轻量化方案；超音速航天反雷达探测导弹弹体轻量化、精密成型方案。超低温高韧性球墨铸铁成型技术：超低温球墨铸铁成型超高压抗爆球墨铸铁精密成型表面高球化球墨铸铁制造工艺。超高强度高韧性铝合金成型技术：超音速弹道导弹弹体锻（铝）改铸（铝）成型工艺研发；高速动车电机铸件轻量化研发；磁悬浮列车大型构件集成化产品工艺研发。硅溶胶精密铸造成型技术轨道交通用高强度合金材料开发；高温合金材料开发。</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1E8CA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株洲九方铸造股份有限公司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0C0A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曾庆文</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15073300031</w:t>
            </w:r>
          </w:p>
        </w:tc>
      </w:tr>
      <w:tr w14:paraId="554E6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9832F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23</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B2D56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先进钢铁材料</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A378D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钢铁材料质量管控整体解决方案</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B826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为企业提供“洁净钢水控制”“机器视觉表面检测”“钢水液面波动”“电磁超声无损探伤”等智能化的钢铁材料质量管控整体解决方案，有效帮助企业提高钢铁材料质量，降低缺陷事故风险，提升综合竞争力。</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3A6D9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衡阳镭目科技有限责任公司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22B7C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肖小文</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13873495005</w:t>
            </w:r>
          </w:p>
        </w:tc>
      </w:tr>
      <w:tr w14:paraId="57B9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A40A0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24</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C312C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先进钢铁材料</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9EB67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金属增材解决方案</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6A8D0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提供金属增材制造设备、工艺开发和快速制造等整体解决方案。产品主要用于航空航天、工业制造等高端制造业，助力各类高端金属部件的创新研发及定制化生产。</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F5E61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湖南云箭集团有限公司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A0148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郁玉萍</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15116471568</w:t>
            </w:r>
          </w:p>
        </w:tc>
      </w:tr>
      <w:tr w14:paraId="3EED7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D5F52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25</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F1EF0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先进钢铁材料</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273E5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铸造增材制造解决方案</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AA61C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提供高端砂型/蜡型增材制造设备、关键材料工艺和增材制造+传统铸造相结合的核心技术及产品。用于复杂结构、异形结构的高端铸件的研发、生产，可提供单个和中小批量产品的定制生产。</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DBAF2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湖南云箭集团有限公司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D466B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郁玉萍</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15116471568</w:t>
            </w:r>
          </w:p>
        </w:tc>
      </w:tr>
      <w:tr w14:paraId="61465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D5A1B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26</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C1FC7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先进钢铁材料</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7FB5D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非金属增材制造解决方案</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76F8F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提供系列化非金属整体解决方案，材料涵盖工程塑料、尼龙、光敏树脂等。可用于具有复杂结构的手板零件、定制化工装、产品模型、文化创意等产品的中小批量快速生产。</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87631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湖南云箭集团有限公司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33D3E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郁玉萍</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15116471568</w:t>
            </w:r>
          </w:p>
        </w:tc>
      </w:tr>
      <w:tr w14:paraId="1162B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ABD70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27</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D87D4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先进钢铁材料</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21153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烧结智能制造整体解决方案</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21EFA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实现了工艺装备、生产过程控制智能化，有效解决了烧结工艺流程长、大滞后、原料因素不稳定等长期困扰烧结生产过程控制的难题。</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4C798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中冶长天（长沙）智能科技有限公司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81530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戴锐</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13687307972</w:t>
            </w:r>
          </w:p>
        </w:tc>
      </w:tr>
      <w:tr w14:paraId="56A66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D90B1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28</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FBBD5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新一代信息技术</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AAB9D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智能下料分拣产线</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FDA5F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产线设计上充分结合了行业内用户典型生产状况，能够完成工件全生命周期管理和自动下料、自动分拣、自动配盘、自动打磨、自动打码、自动物流等功能于一体的现代化智能工厂产线，在为企业降低大量人力劳动的同时，实现产能跨越式提升。</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6A5AC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湖南视比特机器人有限公司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50708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陈瑶</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17775836862</w:t>
            </w:r>
          </w:p>
        </w:tc>
      </w:tr>
      <w:tr w14:paraId="0D512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CD0E8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29</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E6FA6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新一代信息技术</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AC64D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高性能与智能计算</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CD27D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建有全国高校算力TOP20的计算集群，存储能力1.7Pb、算力能力2.6PFlops、标准机架180个，可提供大规模数据存储、数值仿真、高性能计算和人工智能网络模型训练等服务。</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8E9E5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湖南韶峰应用数学研究院</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AE641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肖娆</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18173239929</w:t>
            </w:r>
          </w:p>
        </w:tc>
      </w:tr>
      <w:tr w14:paraId="4F41B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ED55B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30</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61E33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生物医药和医疗器械</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6985A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医疗耗材仓储物流云平台</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FC1CC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智能硬件+医疗物联网，对院内人员、耗材及物资等各个环节实现集中管理，监控医疗耗材供应环节，做到耗材耗用可追溯，保证医用质量安全，有效提升管理水平和质量。</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D24AD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湖南德荣医疗健康产业有限公司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C4304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汤建</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18670015928</w:t>
            </w:r>
          </w:p>
        </w:tc>
      </w:tr>
      <w:tr w14:paraId="09183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16AD0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31</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7813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生物医药和医疗器械</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1E21D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GTX.One基因超算工作站</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A32F5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GTX.One基因超算工作站是一款超级计算服务器。内置高倍率基因组压缩工具、高性能基因计算加速方案及基因突变注释与解读系统等。可将基因测序Fastq数据压缩至原GZ文件大小的2%。</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29169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人和未来生物科技（长沙）有限公司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52634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方龙</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15576629132</w:t>
            </w:r>
          </w:p>
        </w:tc>
      </w:tr>
    </w:tbl>
    <w:p w14:paraId="685AF394">
      <w:pPr>
        <w:bidi w:val="0"/>
        <w:rPr>
          <w:rFonts w:hint="eastAsia" w:ascii="仿宋_GB2312" w:hAnsi="仿宋_GB2312" w:eastAsia="仿宋_GB2312" w:cs="仿宋_GB2312"/>
          <w:lang w:val="en-US" w:eastAsia="zh-CN"/>
        </w:rPr>
        <w:sectPr>
          <w:headerReference r:id="rId5" w:type="default"/>
          <w:footerReference r:id="rId6" w:type="default"/>
          <w:pgSz w:w="16838" w:h="11906" w:orient="landscape"/>
          <w:pgMar w:top="1134" w:right="1134" w:bottom="1134" w:left="1134" w:header="851" w:footer="992" w:gutter="0"/>
          <w:cols w:space="720" w:num="1"/>
          <w:docGrid w:type="linesAndChars" w:linePitch="554" w:charSpace="-842"/>
        </w:sectPr>
      </w:pPr>
    </w:p>
    <w:p w14:paraId="2239BA32">
      <w:pPr>
        <w:keepNext w:val="0"/>
        <w:keepLines w:val="0"/>
        <w:widowControl w:val="0"/>
        <w:suppressLineNumbers w:val="0"/>
        <w:spacing w:before="0" w:beforeAutospacing="0" w:after="0" w:afterAutospacing="0" w:line="580" w:lineRule="exact"/>
        <w:ind w:left="0" w:right="0" w:firstLine="0" w:firstLineChars="0"/>
        <w:jc w:val="center"/>
        <w:rPr>
          <w:rFonts w:hint="eastAsia" w:ascii="方正小标宋简体" w:hAnsi="方正小标宋简体" w:eastAsia="方正小标宋简体" w:cs="方正小标宋简体"/>
          <w:i w:val="0"/>
          <w:iCs w:val="0"/>
          <w:color w:val="000000"/>
          <w:kern w:val="0"/>
          <w:sz w:val="40"/>
          <w:szCs w:val="40"/>
          <w:u w:val="none"/>
          <w:lang w:val="en-US" w:eastAsia="zh-CN" w:bidi="ar-SA"/>
        </w:rPr>
      </w:pPr>
      <w:r>
        <w:rPr>
          <w:rFonts w:hint="eastAsia" w:ascii="方正小标宋简体" w:hAnsi="方正小标宋简体" w:eastAsia="方正小标宋简体" w:cs="方正小标宋简体"/>
          <w:i w:val="0"/>
          <w:iCs w:val="0"/>
          <w:color w:val="000000"/>
          <w:kern w:val="0"/>
          <w:sz w:val="40"/>
          <w:szCs w:val="40"/>
          <w:u w:val="none"/>
          <w:lang w:val="en-US" w:eastAsia="zh-CN" w:bidi="ar-SA"/>
        </w:rPr>
        <w:t>应用场景机会清单</w:t>
      </w:r>
    </w:p>
    <w:p w14:paraId="70BD78FA">
      <w:pPr>
        <w:keepNext w:val="0"/>
        <w:keepLines w:val="0"/>
        <w:widowControl w:val="0"/>
        <w:suppressLineNumbers w:val="0"/>
        <w:spacing w:before="0" w:beforeAutospacing="0" w:after="0" w:afterAutospacing="0" w:line="580" w:lineRule="exact"/>
        <w:ind w:left="0" w:right="0" w:firstLine="0" w:firstLineChars="0"/>
        <w:jc w:val="center"/>
        <w:rPr>
          <w:rFonts w:hint="eastAsia" w:ascii="方正小标宋简体" w:hAnsi="方正小标宋简体" w:eastAsia="方正小标宋简体" w:cs="方正小标宋简体"/>
          <w:i w:val="0"/>
          <w:iCs w:val="0"/>
          <w:color w:val="000000"/>
          <w:kern w:val="0"/>
          <w:sz w:val="40"/>
          <w:szCs w:val="40"/>
          <w:u w:val="none"/>
          <w:lang w:val="en-US" w:eastAsia="zh-CN" w:bidi="ar-SA"/>
        </w:rPr>
      </w:pPr>
    </w:p>
    <w:tbl>
      <w:tblPr>
        <w:tblStyle w:val="11"/>
        <w:tblW w:w="157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140"/>
        <w:gridCol w:w="1084"/>
        <w:gridCol w:w="1268"/>
        <w:gridCol w:w="3160"/>
        <w:gridCol w:w="2429"/>
        <w:gridCol w:w="2028"/>
        <w:gridCol w:w="1350"/>
        <w:gridCol w:w="1084"/>
        <w:gridCol w:w="2170"/>
      </w:tblGrid>
      <w:tr w14:paraId="47074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blHeade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6C946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SA"/>
              </w:rPr>
              <w:t>序号</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E8B5C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SA"/>
              </w:rPr>
              <w:t>所属产业链</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2F6BE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SA"/>
              </w:rPr>
              <w:t>场景名称</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D3563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SA"/>
              </w:rPr>
              <w:t>机会描述</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22849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SA"/>
              </w:rPr>
              <w:t>建设基础</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F5F7A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SA"/>
              </w:rPr>
              <w:t>合作需求</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91429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SA"/>
              </w:rPr>
              <w:t>拟合作方式</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D3676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SA"/>
              </w:rPr>
              <w:t>业主单位</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E1A7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SA"/>
              </w:rPr>
              <w:t>联系人及手机号</w:t>
            </w:r>
          </w:p>
        </w:tc>
      </w:tr>
      <w:tr w14:paraId="165B5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D918B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40030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绿色农产品及食品加工</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643AC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天然饮用矿泉水产业开发利用</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E260C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 xml:space="preserve">    聚焦麻阳天然饮用矿泉水开发与利用，计划引入优质大型天然饮用矿泉水企业、大健康发展企业和医疗用水开发企业，解决资金短缺、缺少知名品牌、水产业不发展，达到更好地开发利用麻阳天然饮用矿泉水的目的。</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B6C7E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麻阳县已经成功在全县12个乡镇发现天然饮用矿泉水，完成地质勘探、水质监测、钻井，并在此基础上向省厅申请了3个天然饮用矿泉水资源开发地块。每个地块每天可开采天然饮用矿泉水500-1000吨。这几处矿泉水开发基地位于省道或高速公路附近，交通便捷，环境优美。在技术方面，有自然资源部技术专家团队做支撑。</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69566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引进高品质天然饮用矿泉水资源开发与利用企业</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80F47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直接采购、联合开发</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87C17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麻阳苗族自治县自然资源局</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F881A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田连春</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13974549687</w:t>
            </w:r>
          </w:p>
        </w:tc>
      </w:tr>
      <w:tr w14:paraId="1032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DDC03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2</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8A78B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绿色农产品及食品加工</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FB5E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湘西泡菜预制化</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D6F16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湘西泡菜是湖南湘西地区的一种特色发酵蔬菜，湘西泡菜预制化工业生产目前面临的对泡菜母水依赖性强，风味不稳定，易变质等问题亟待解决。</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73C07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团队有研究人员5名，初步完成了湘西泡菜预制化的基础研究。</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605F0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湘西泡菜预制化工业生产</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C50CA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联合研发、生产</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A5E27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怀化市农业科学研究院</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D4A62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陈宇昱</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13237489869</w:t>
            </w:r>
          </w:p>
        </w:tc>
      </w:tr>
      <w:tr w14:paraId="6C778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C59E4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3</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43296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绿色农产品及食品加工</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C9F02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杂交水稻新品种培育、生产制种及生产应用</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0D4A6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针对传统杂交水稻育种技术存在资源利用率低和受光温条件影响生产稳定性不足的问题，利用将隐性核雄性不育基因创制新型杂交水稻不育系，提高水稻种质资源利用率至接近100%的同时，又避免了光照和低温等自然条件对不育系育性的影响，提升了制种安全性。</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503FE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已经逐年培育出系列优异的广三系不育系，截至目前已有8个不育系通过主管部门鉴定，可产业化开发；配组筛选出杂交水稻优势组合陆续进入国内和国外新品种审定，截止目前已有15个杂交水稻新品种送审，其中圳18优粤标5号通过浙江省审定、圳优545通过江苏审定，已经开始制种布点示范并销售。希望与种业企业、高校院所合作，开发新型杂交水稻品种，并完成审定，应用于生产。</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8A295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第三代杂交水稻配组、审定、应用开发</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5755F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联合研发、品种生产经营</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0F81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怀化市农科院</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怀化市职业技术学院</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湖南奥谱隆种业科技有限公司</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安徽荃银高科种业股份有限公司</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合肥丰乐种业股份有限公司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3CDBE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陈雷</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13811954970</w:t>
            </w:r>
          </w:p>
        </w:tc>
      </w:tr>
      <w:tr w14:paraId="723C0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180D9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4</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92D9A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航空航天及北斗</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5B8C9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交通拥堵监测</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36644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针对传统地面监测盲区多（覆盖率＜40%）、拥堵预测滞后（平均提前量＜10分钟）、信号调控依赖经验判断等问题，需构建无人机高空感知网与AI动态决策系统。重点突破：全息路况感知、拥堵溯源分析、信号智慧调控。</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81CCC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数据资源：已接入全市1200路交通摄像头数据、建成交通流量历史数据库；硬件准备：规划部署22个无人机智能机巢（覆盖核心城区）、信号灯控制系统已完成智能化改造；验证成果：在试点路段实现高峰期通行速度提升18%（基于模拟推演）。</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98BB2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 智能感知设备：长航时交通巡查无人机、车载AI分析边缘计算盒；2. 决策系统：拥堵预测引擎、信号灯动态优化算法。</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057EA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数据合作、联合研发、BOT模式</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16630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长沙数字集团</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EEE9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符鹏</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18684938085</w:t>
            </w:r>
          </w:p>
        </w:tc>
      </w:tr>
      <w:tr w14:paraId="350E4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464C8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5</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DFA8D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航空航天及北斗</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877B9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智能交通管理</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F7341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解决路网运行评估碎片化、违法识别效率低（人工审核＞3分钟/例）、管控指令缺乏数据支撑等痛点，需建设“感知-认知-决策”一体化平台。</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B8015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平台基础：已建成交通大数据中心；前期验证：在3个路口试点实现违法识别效率提升15倍。</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8BEDF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1.核心系统：多源数据融合中台（秒级处理10万+终端数据）2. 智能装备：5G网联无人机、全向扫描雷视一体机；3. 算法服务：交通优化方案生成引擎。</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CC45C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PPP模式、技术采购、标准共建</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DF47D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长沙数字集团</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06460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符鹏</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18684938085</w:t>
            </w:r>
          </w:p>
        </w:tc>
      </w:tr>
      <w:tr w14:paraId="5E627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5FCD9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6</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10EAD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航空航天及北斗</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1D7CC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无人机巡检技术升级</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DA557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计划引入高精度激光雷达与多光谱传感器技术，提升交通路网智能识别能力，开发适配农林水电的高新技术，优化预警时效性。</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8CE35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现有巡检系统可覆盖交通/旅游，实现隐患可视化追溯</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7E6EA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政策支持、项目合作协调</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11F70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政企合作</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BE19A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 xml:space="preserve">衡阳群英飞航空科技有限公司  </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D0C1E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何美英</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13974859993</w:t>
            </w:r>
          </w:p>
        </w:tc>
      </w:tr>
      <w:tr w14:paraId="6CA91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1F708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7</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CC414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航空航天及北斗</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0496D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湖南华侨城雁新城片区飞行营地项目</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4A705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该项目计划投资1500万，前期使用500万，租用华侨城在合江街道段湘江边滩头地，因地制宜，清理杂树杂草，夯实地基，种上草皮，改造成飞行营地，适合各种航空运动类飞行器，如牵引滑翔伞、动力伞、运动类水上飞机和初级类飞机等为航空爱好者和大众参与体验飞行、航空运动训练、休闲娱乐飞行，实现航空运动+文旅的低空经济业态</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AE13E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湖南运通飞行航空服务有限公司拟在华侨城权属区域内，湘江河边1号码头地段，建设飞行营地+文旅项目，项目包括建设A2级直升机场和水上通用机场</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35509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资金投入</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99534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第三方公司股份投资</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E2B9C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湖南运通飞行航空服务有限公司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1AA21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邓运国</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18975425555</w:t>
            </w:r>
          </w:p>
        </w:tc>
      </w:tr>
      <w:tr w14:paraId="084B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3A6D3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8</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388FD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航空航天及北斗</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AABA5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航空教育产教融合</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DB1C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与学校合作共建航空航空科技特色学实验室，开设航空航天科普课程；打造专业研学飞行教育营地，策划个性化研学方案，承办专业赛事，配套建设训练场地，实现“课程科普+研学实践+职业考级”的贯通式航空教育体系。</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CEB05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已打造全龄段航空科普教育平台，完成4所中小学科普实验室投建与课程开设；承办了多届省级市级科技体育相关赛事；具备民航局认证无人机培训资质，每年定量输出执证飞手</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1AE70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政策支持</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39C76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政企校合作</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89DCB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 xml:space="preserve">衡阳群英飞航空科技有限公司  </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D17D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何美英</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13974859993</w:t>
            </w:r>
          </w:p>
        </w:tc>
      </w:tr>
      <w:tr w14:paraId="7C080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00B54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9</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71E18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航空航天及北斗</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2ED46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系留无人机</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3C748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系留无人机的机载端电源模块，为无人机提供动力电源。目前机载电源体积大，价格贵，还没有能满足10KW大功率的机载电源。</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F902D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已经开发了无人机和地面电源箱体。目前寻找供应商，采购10KW的DC/DC 电源模块，具有体积小，成本低等特点。</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43B35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10KW电源模块，1000V输入，50V输出</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59CDF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直接采购</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30479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湘潭无线电有限公司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18B33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夏含信</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13528836085</w:t>
            </w:r>
          </w:p>
        </w:tc>
      </w:tr>
      <w:tr w14:paraId="16DE2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29731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10</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4858C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航空航天及北斗</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B019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政务巡检</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DDFBB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株洲市天元区全域低空政务系统</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A61C4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目前新翼公司服务天元区各委办单位如：水利局、生态环境分局、应急管理局、交通运输局、自然资源局、城管局、住建局、文体局、卫健局、农业农村局、三个镇和马家河街道等多部门和场景。</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B9C149">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rPr>
                <w:rFonts w:hint="eastAsia" w:ascii="仿宋_GB2312" w:hAnsi="仿宋_GB2312" w:eastAsia="仿宋_GB2312" w:cs="仿宋_GB2312"/>
                <w:i w:val="0"/>
                <w:iCs w:val="0"/>
                <w:color w:val="000000"/>
                <w:sz w:val="28"/>
                <w:szCs w:val="28"/>
                <w:u w:val="none"/>
              </w:rPr>
            </w:pP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C66C7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公开招标</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64AAA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株洲市天元区区政府</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AF48A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王建国</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13873337669</w:t>
            </w:r>
          </w:p>
        </w:tc>
      </w:tr>
      <w:tr w14:paraId="4FC2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9EF99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11</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7C259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磁浮交通</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0CEE9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磁悬浮输送系统</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9A7E5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作为新一代工业传输方式，颠覆性解决了皮带、倍速链等传统机械传动模式存在的摩擦损耗、维护成本高、柔性化不足等问题，为现代工业生产提供高效、精确、灵活的物料流转平台。核心优势在于产品与传输线、产品与产品之间的解耦能力，可灵活调整传输方式和速度，大幅提升产线的智能化与柔性化水平，满足多样化生产需求，广泛应用于消费电子、医药装备、包装机械、线束加工、汽车、光伏、锂电、激光、核工业等行业。</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7CCF2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已成功研发磁悬浮输送系统，突破定位精度、重复定位精度等核心技术，形成产业化生产。</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E56A2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磁悬浮输送系统</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F2165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直接采购</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1D4CF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湖南凌翔磁浮科技有限责任公司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BD946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徐晶</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18397590898</w:t>
            </w:r>
          </w:p>
        </w:tc>
      </w:tr>
      <w:tr w14:paraId="16848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5AACC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12</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849BB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先进钢铁材料</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DE1FF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工业窑炉氢氧燃烧</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28893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聚焦工业窑炉领域化石燃料燃烧存在的痛点，计划引入绿电制氢与全氧燃烧技术，系统性解决现有燃烧方式存在的高碳排放、低热效率、氮氧化物污染及能源浪费等问题，实现工业高温过程的深度脱碳与能效跃升。</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F75CC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已经成功研发了氢氧成型烧嘴，并有实际应用案例，完成了氢氧燃烧产品自动化生产方面的工艺研究工作，希望与制造企业、应用落地。</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A9F2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应用工业窑炉低碳燃烧</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8BC10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直接采购、项目合作</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A3CB4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湖南钢铁集团、陶瓷生产企业</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FFC70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赵权</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15616136333</w:t>
            </w:r>
          </w:p>
        </w:tc>
      </w:tr>
      <w:tr w14:paraId="13D15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3156D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13</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66B57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新一代信息技术</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B6B38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数字化研发平台建设项目</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F69C0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实现基于自主创新的正向研发体系与数字孪生技术。2.实现型谱优化、基于经验固化的专家快速设计、多专业一体化联合仿真、虚拟试验和半实物仿真、数字化工厂变更管控与统一BOM管理等能力。3.打造产品全生命周期数字化研发平台，实现端到端业务打通。</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1E041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已建立覆盖工程机械全生命周期的数字化研发体系，拥有PLM（产品生命周期管理）系统基础及多学科仿真能力；在智能农机、高空机械等领域完成数字样机验证，积累超10万条设计参数库；获评国家级工业设计中心，具备CAE/CAD/CAM集成应用经验。</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5AFA7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联合开发基于数字孪生的正向设计模块（型谱优化、专家知识库）</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搭建多专业协同仿真平台（结构-液压-控制联合仿真）</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构建BOM全流程管理系统，打通研发-制造数据链</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13DD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联合研发、生产</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1EC3F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中联重科股份有限公司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7710D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杨宗宁</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15080716605</w:t>
            </w:r>
          </w:p>
        </w:tc>
      </w:tr>
      <w:tr w14:paraId="559F6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18DEC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14</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1C429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新能源</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1EAC9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场景采集与真值测评系统</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80AB8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包括数据采集主机（包含CAN/CANFD、以太网、COM、USB等数据通道若干，带存储系统）、真值传感器（包括128线主激光雷达、补盲激光雷达、高精定位组合惯导、毫米波雷达、智能摄像头等真值传感器若干）、处理器（包含在线感知融合算法服务器，离线reference真值算法服务器）、采集系统配件（包含监控相机、鱼眼相机、打点器、显示屏、线缆等）以及相关配套软件。</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02573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拥有直径300m的淋雨动态广场、长1.5km的直线性能路、4种坡度（10%、20%、30%、60%）的标准坡道、长186m的涉水池、长300m的ABS试验路、长520m的车外噪声试验路等试验道路；拥有天气模拟系统（雨雾模块），完成过ASIL D级智驾系统室内验证项目。</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6ED05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高精度真值传感器套件、多源异构数据同步采集与融合处理系统、符合ISO 34502标准的场景重建与测评软件</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40385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直接采购、定制开发</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E4BC0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汽院智能网联汽车检测中心（湖南）有限公司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AC7B2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李汛</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15658136882</w:t>
            </w:r>
          </w:p>
        </w:tc>
      </w:tr>
      <w:tr w14:paraId="5CA46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BB137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15</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0ADD6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新能源</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41942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HIL系统实时仿真平台</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3B944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控制器PXIe-8881，主频3.9 GHz，八核处理器；机箱至少18槽，可用于后续扩展，模拟IO输入输出至少各8路，数字IO输入输出至少各8路；包括4路车载以太网接口，支持100/1000BASE-T1；4路标准以太网，支持100/1000BASE-Tx；10路CAN/CAN FD接口，2路LIN接口</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C68F9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拥有直径300m的淋雨动态广场、长1.5km的直线性能路、4种坡度（10%、20%、30%、60%）的标准坡道、长186m的涉水池、长300m的ABS试验路、长520m的车外噪声试验路等试验道路；拥有天气模拟系统（雨雾模块），完成过ASIL D级智驾系统室内验证项目。</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03D65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高实时性PXIe仿真机箱</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F8A46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直接采购</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5997D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汽院智能网联汽车检测中心（湖南）有限公司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E6013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李汛</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15658136882</w:t>
            </w:r>
          </w:p>
        </w:tc>
      </w:tr>
      <w:tr w14:paraId="5215E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B1769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16</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33D4E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新能源</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82005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雪天模拟系统、室内定位系统</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E3397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雪天模拟系统：满足小雪、大雪等不同等级和能见度的雪天环境模拟。</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室内定位系统：速度精度：±0.1km/h；位置精度：2cm；支持RT设备并实现室内室外环境无缝切换。更新速率：100Hz；首次定位时间：＜0.2s。</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虚实融合测试设备：包括图形工作站、组合惯导（准确计算记录车辆本身的姿态信息）、车端总线注入设备、仿真软件\多平板集群控制系统（软体目标物、驱动平板等）</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F572C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拥有直径300m的淋雨动态广场、长1.5km的直线性能路、4种坡度（10%、20%、30%、60%）的标准坡道、长186m的涉水池、长300m的ABS试验路、长520m的车外噪声试验路等试验道路；拥有天气模拟系统（雨雾模块），完成过ASIL D级智驾系统室内验证项目。</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D998E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可控雪密度与能见度的动态降雪模拟设备、厘米级室内外无缝定位系统（RTK+UWB融合）</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37B3F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直接采购、定制开发</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F26B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汽院智能网联汽车检测中心（湖南）有限公司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9E81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李汛</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15658136882</w:t>
            </w:r>
          </w:p>
        </w:tc>
      </w:tr>
      <w:tr w14:paraId="307B0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0FC4B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17</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BC68B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新能源</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1A93E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储能用层状金属复合材料薄带研发技术及产业化</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1F5B1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研究中厚板高能率动态复合技术、大压下强冷变形非对称轧制技术、薄板板形控形、控性和界面控制关键技术，形成高结合强度、界面均匀的超薄异质金属材料系列产品（厚度规格为0.5mm-6mm不同厚度、不同厚度比的铜铝、铜镍和钛铜等铜复合系列产品）</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FA319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设有专家、博士工作站，建有省、市级企业技术中心，爆炸加工技术中心，层状金属复合技术检测中心，层状金属复合材料关键技术达到国际标杆级水平。</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B875D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非对称轧制工艺优化（解决薄带板形翘曲问题），界面扩散控制技术（抑制金属间化合物生成）</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664BC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技术引进、产线合作</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D90CA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湖南方恒新材料技术股份有限公司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E599E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赵芳</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18670349809</w:t>
            </w:r>
          </w:p>
        </w:tc>
      </w:tr>
      <w:tr w14:paraId="48782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7E48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18</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7C474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新能源</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4150E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碳基材料循环利用与提纯技术研究</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7D09E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通过理论分析与实验表征相结合，利用石墨材料天然疏水性的特性，对已经拆解破碎废旧电池负极进行浸出-气浮一体化技术研究，一步气浮分离石墨与液相和固相杂质，获得石墨精料；2、针对碳纳米管中杂质含量较多，开展化学协同纯化技术、高温纯化技术及低分子络合诱导杂质化学气相沉淀技术，在无损伤的前提下，力争金属杂质 （Co和 Fe等）含量小于200 ppm，并且减少能耗成本</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DEFAF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金阳烯碳拥有100余名研发人员、70余项相关专利，掌握着石墨烯高质量低成本的制备技术，建成了全自动化石墨烯与锂离子电池石墨负极材料生产线，实现了少层高纯石墨烯粉体的量产，已经在石墨烯和锂离子电池石墨负极材料研发生产这条赛道上积累起“高技术壁垒”</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B03F7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高温提纯能耗控制方案</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54E66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联合研发</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8732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湖南金阳烯碳新材料股份有限公司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158BA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肖芬芳</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15802516855</w:t>
            </w:r>
          </w:p>
        </w:tc>
      </w:tr>
      <w:tr w14:paraId="00C8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0606C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19</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A7203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工程机械</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7B215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安全系统解决方案</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51E36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拟通过硬件平台合作开发、应用软件自主开发的方式，形成具有国产自主知识产权的安全系统解决方案，建立行业安全控制系统设计标准，打造高空作业领域的专业应用平台。</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A85E9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星邦智能已在高空作业平台领域实现控制系统全栈自研，掌握CAN总线通信、多传感器融合技术；产品通过欧盟CE/美国ANSI认证，安全控制算法积累超5万小时路谱数据。</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50A88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1.高可靠硬件平台（满足IP67防护等级、-40℃~85℃工况）；</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2.功能安全认证支持（ISO 13849 PL e级）；</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3.倾翻保护、载荷识别等核心算法优化。</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4D965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联合研发</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2C3A0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湖南星邦智能装备股份有限公司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2D7E7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徐姣</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18670097156</w:t>
            </w:r>
          </w:p>
        </w:tc>
      </w:tr>
      <w:tr w14:paraId="74EE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A541A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20</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7192B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工程机械</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95718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多介质中心回转接头开发及应用</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33110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本项目拟自主开发多介质中回，以替代进口元件，且通过高性价比的技术自主，拓展应用场景，降低主机客户的综合生产成本。1.耐久旋转测试≥15万次。2.性能测试压力等级：低压试验3MPa，高压试验31.5MPa。3.不同介质通道间的泄露量：零泄露。4.主体材料及密封材料对各介质的抗腐蚀能力：耐久试验后，性能无异常，拆解无腐蚀痕迹。5.产品性价比。以三一越野起重机应用的多介质中回为例，较进口产品下降40%以上。</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23AC0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已开发液压回转接头（压力35MPa）批量用于三一挖掘机；完成多通道密封结构原型设计，通过3万次旋转耐久测试；建有CNAS认证检测实验室。</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811B9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超硬密封材料</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66C0A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联合研发</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521A6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长沙孟德机械科技有限公司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4C0F2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刘丹杰</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13787179798</w:t>
            </w:r>
          </w:p>
        </w:tc>
      </w:tr>
    </w:tbl>
    <w:p w14:paraId="20F88E79">
      <w:pPr>
        <w:bidi w:val="0"/>
        <w:ind w:left="0" w:leftChars="0" w:firstLine="0" w:firstLineChars="0"/>
        <w:rPr>
          <w:rFonts w:hint="default"/>
          <w:lang w:val="en-US" w:eastAsia="zh-CN"/>
        </w:rPr>
      </w:pPr>
      <w:bookmarkStart w:id="0" w:name="_GoBack"/>
      <w:bookmarkEnd w:id="0"/>
    </w:p>
    <w:sectPr>
      <w:footerReference r:id="rId7" w:type="default"/>
      <w:pgSz w:w="16838" w:h="11906" w:orient="landscape"/>
      <w:pgMar w:top="1587" w:right="2098" w:bottom="1474" w:left="1984" w:header="851" w:footer="992" w:gutter="0"/>
      <w:pgNumType w:fmt="decimal"/>
      <w:cols w:space="0" w:num="1"/>
      <w:rtlGutter w:val="0"/>
      <w:docGrid w:type="linesAndChars" w:linePitch="554"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710CB">
    <w:pPr>
      <w:widowControl w:val="0"/>
      <w:tabs>
        <w:tab w:val="center" w:pos="4153"/>
        <w:tab w:val="right" w:pos="8306"/>
      </w:tabs>
      <w:snapToGrid w:val="0"/>
      <w:spacing w:line="580" w:lineRule="exact"/>
      <w:ind w:firstLine="360" w:firstLineChars="200"/>
      <w:jc w:val="left"/>
      <w:rPr>
        <w:rFonts w:ascii="Times New Roman" w:hAnsi="Times New Roman" w:eastAsia="仿宋_GB2312" w:cs="Times New Roman"/>
        <w:kern w:val="2"/>
        <w:sz w:val="18"/>
        <w:szCs w:val="24"/>
        <w:lang w:val="en-US" w:eastAsia="zh-CN" w:bidi="ar-SA"/>
      </w:rPr>
    </w:pPr>
    <w:r>
      <w:rPr>
        <w:rFonts w:ascii="Times New Roman" w:hAnsi="Times New Roman" w:eastAsia="仿宋_GB2312"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300" cy="368300"/>
              <wp:effectExtent l="0" t="0" r="0" b="0"/>
              <wp:wrapNone/>
              <wp:docPr id="2" name="矩形 2"/>
              <wp:cNvGraphicFramePr/>
              <a:graphic xmlns:a="http://schemas.openxmlformats.org/drawingml/2006/main">
                <a:graphicData uri="http://schemas.microsoft.com/office/word/2010/wordprocessingShape">
                  <wps:wsp>
                    <wps:cNvSpPr/>
                    <wps:spPr>
                      <a:xfrm>
                        <a:off x="0" y="0"/>
                        <a:ext cx="622300" cy="368300"/>
                      </a:xfrm>
                      <a:prstGeom prst="rect">
                        <a:avLst/>
                      </a:prstGeom>
                      <a:noFill/>
                      <a:ln w="6350">
                        <a:noFill/>
                      </a:ln>
                    </wps:spPr>
                    <wps:txbx>
                      <w:txbxContent>
                        <w:p w14:paraId="14CC28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ind w:firstLine="0" w:firstLineChars="0"/>
                            <w:jc w:val="left"/>
                            <w:textAlignment w:val="auto"/>
                            <w:rPr>
                              <w:rFonts w:hint="eastAsia" w:ascii="宋体" w:eastAsia="宋体" w:cs="宋体"/>
                              <w:kern w:val="2"/>
                              <w:sz w:val="28"/>
                              <w:szCs w:val="28"/>
                              <w:lang w:val="en-US" w:eastAsia="zh-CN" w:bidi="ar-SA"/>
                            </w:rPr>
                          </w:pPr>
                          <w:r>
                            <w:rPr>
                              <w:rFonts w:hint="eastAsia" w:ascii="宋体" w:eastAsia="宋体" w:cs="宋体"/>
                              <w:kern w:val="2"/>
                              <w:sz w:val="28"/>
                              <w:szCs w:val="28"/>
                              <w:lang w:val="en-US" w:eastAsia="zh-CN" w:bidi="ar-SA"/>
                            </w:rPr>
                            <w:t xml:space="preserve">— </w:t>
                          </w:r>
                          <w:r>
                            <w:rPr>
                              <w:rFonts w:hint="eastAsia" w:ascii="宋体" w:eastAsia="宋体" w:cs="宋体"/>
                              <w:kern w:val="2"/>
                              <w:sz w:val="28"/>
                              <w:szCs w:val="28"/>
                              <w:lang w:val="en-US" w:eastAsia="zh-CN" w:bidi="ar-SA"/>
                            </w:rPr>
                            <w:fldChar w:fldCharType="begin"/>
                          </w:r>
                          <w:r>
                            <w:rPr>
                              <w:rFonts w:hint="eastAsia" w:ascii="宋体" w:eastAsia="宋体" w:cs="宋体"/>
                              <w:kern w:val="2"/>
                              <w:sz w:val="28"/>
                              <w:szCs w:val="28"/>
                              <w:lang w:val="en-US" w:eastAsia="zh-CN" w:bidi="ar-SA"/>
                            </w:rPr>
                            <w:instrText xml:space="preserve"> PAGE  \* MERGEFORMAT </w:instrText>
                          </w:r>
                          <w:r>
                            <w:rPr>
                              <w:rFonts w:hint="eastAsia" w:ascii="宋体" w:eastAsia="宋体" w:cs="宋体"/>
                              <w:kern w:val="2"/>
                              <w:sz w:val="28"/>
                              <w:szCs w:val="28"/>
                              <w:lang w:val="en-US" w:eastAsia="zh-CN" w:bidi="ar-SA"/>
                            </w:rPr>
                            <w:fldChar w:fldCharType="separate"/>
                          </w:r>
                          <w:r>
                            <w:rPr>
                              <w:rFonts w:hint="eastAsia" w:ascii="宋体" w:eastAsia="宋体" w:cs="宋体"/>
                              <w:kern w:val="2"/>
                              <w:sz w:val="28"/>
                              <w:szCs w:val="28"/>
                              <w:lang w:val="en-US" w:eastAsia="zh-CN" w:bidi="ar-SA"/>
                            </w:rPr>
                            <w:t>1</w:t>
                          </w:r>
                          <w:r>
                            <w:rPr>
                              <w:rFonts w:hint="eastAsia" w:ascii="宋体" w:eastAsia="宋体" w:cs="宋体"/>
                              <w:kern w:val="2"/>
                              <w:sz w:val="28"/>
                              <w:szCs w:val="28"/>
                              <w:lang w:val="en-US" w:eastAsia="zh-CN" w:bidi="ar-SA"/>
                            </w:rPr>
                            <w:fldChar w:fldCharType="end"/>
                          </w:r>
                          <w:r>
                            <w:rPr>
                              <w:rFonts w:hint="eastAsia" w:ascii="宋体" w:eastAsia="宋体" w:cs="宋体"/>
                              <w:kern w:val="2"/>
                              <w:sz w:val="28"/>
                              <w:szCs w:val="28"/>
                              <w:lang w:val="en-US" w:eastAsia="zh-CN" w:bidi="ar-SA"/>
                            </w:rPr>
                            <w:t xml:space="preserve"> —</w:t>
                          </w:r>
                        </w:p>
                      </w:txbxContent>
                    </wps:txbx>
                    <wps:bodyPr wrap="none" lIns="0" tIns="0" rIns="0" bIns="0" upright="1">
                      <a:spAutoFit/>
                    </wps:bodyPr>
                  </wps:wsp>
                </a:graphicData>
              </a:graphic>
            </wp:anchor>
          </w:drawing>
        </mc:Choice>
        <mc:Fallback>
          <w:pict>
            <v:rect id="_x0000_s1026" o:spid="_x0000_s1026" o:spt="1" style="position:absolute;left:0pt;margin-top:0pt;height:29pt;width:49pt;mso-position-horizontal:outside;mso-position-horizontal-relative:margin;mso-wrap-style:none;z-index:251659264;mso-width-relative:page;mso-height-relative:page;" filled="f" stroked="f" coordsize="21600,21600" o:gfxdata="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Rb+9nVAAAAAwEAAA8AAAAAAAAAAQAgAAAAIgAAAGRycy9kb3du&#10;cmV2LnhtbFBLAQIUABQAAAAIAIdO4kBpqj/5yQEAAJMDAAAOAAAAAAAAAAEAIAAAACQBAABkcnMv&#10;ZTJvRG9jLnhtbFBLBQYAAAAABgAGAFkBAABfBQAAAAA=&#10;">
              <v:fill on="f" focussize="0,0"/>
              <v:stroke on="f" weight="0.5pt"/>
              <v:imagedata o:title=""/>
              <o:lock v:ext="edit" aspectratio="f"/>
              <v:textbox inset="0mm,0mm,0mm,0mm" style="mso-fit-shape-to-text:t;">
                <w:txbxContent>
                  <w:p w14:paraId="14CC28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ind w:firstLine="0" w:firstLineChars="0"/>
                      <w:jc w:val="left"/>
                      <w:textAlignment w:val="auto"/>
                      <w:rPr>
                        <w:rFonts w:hint="eastAsia" w:ascii="宋体" w:eastAsia="宋体" w:cs="宋体"/>
                        <w:kern w:val="2"/>
                        <w:sz w:val="28"/>
                        <w:szCs w:val="28"/>
                        <w:lang w:val="en-US" w:eastAsia="zh-CN" w:bidi="ar-SA"/>
                      </w:rPr>
                    </w:pPr>
                    <w:r>
                      <w:rPr>
                        <w:rFonts w:hint="eastAsia" w:ascii="宋体" w:eastAsia="宋体" w:cs="宋体"/>
                        <w:kern w:val="2"/>
                        <w:sz w:val="28"/>
                        <w:szCs w:val="28"/>
                        <w:lang w:val="en-US" w:eastAsia="zh-CN" w:bidi="ar-SA"/>
                      </w:rPr>
                      <w:t xml:space="preserve">— </w:t>
                    </w:r>
                    <w:r>
                      <w:rPr>
                        <w:rFonts w:hint="eastAsia" w:ascii="宋体" w:eastAsia="宋体" w:cs="宋体"/>
                        <w:kern w:val="2"/>
                        <w:sz w:val="28"/>
                        <w:szCs w:val="28"/>
                        <w:lang w:val="en-US" w:eastAsia="zh-CN" w:bidi="ar-SA"/>
                      </w:rPr>
                      <w:fldChar w:fldCharType="begin"/>
                    </w:r>
                    <w:r>
                      <w:rPr>
                        <w:rFonts w:hint="eastAsia" w:ascii="宋体" w:eastAsia="宋体" w:cs="宋体"/>
                        <w:kern w:val="2"/>
                        <w:sz w:val="28"/>
                        <w:szCs w:val="28"/>
                        <w:lang w:val="en-US" w:eastAsia="zh-CN" w:bidi="ar-SA"/>
                      </w:rPr>
                      <w:instrText xml:space="preserve"> PAGE  \* MERGEFORMAT </w:instrText>
                    </w:r>
                    <w:r>
                      <w:rPr>
                        <w:rFonts w:hint="eastAsia" w:ascii="宋体" w:eastAsia="宋体" w:cs="宋体"/>
                        <w:kern w:val="2"/>
                        <w:sz w:val="28"/>
                        <w:szCs w:val="28"/>
                        <w:lang w:val="en-US" w:eastAsia="zh-CN" w:bidi="ar-SA"/>
                      </w:rPr>
                      <w:fldChar w:fldCharType="separate"/>
                    </w:r>
                    <w:r>
                      <w:rPr>
                        <w:rFonts w:hint="eastAsia" w:ascii="宋体" w:eastAsia="宋体" w:cs="宋体"/>
                        <w:kern w:val="2"/>
                        <w:sz w:val="28"/>
                        <w:szCs w:val="28"/>
                        <w:lang w:val="en-US" w:eastAsia="zh-CN" w:bidi="ar-SA"/>
                      </w:rPr>
                      <w:t>1</w:t>
                    </w:r>
                    <w:r>
                      <w:rPr>
                        <w:rFonts w:hint="eastAsia" w:ascii="宋体" w:eastAsia="宋体" w:cs="宋体"/>
                        <w:kern w:val="2"/>
                        <w:sz w:val="28"/>
                        <w:szCs w:val="28"/>
                        <w:lang w:val="en-US" w:eastAsia="zh-CN" w:bidi="ar-SA"/>
                      </w:rPr>
                      <w:fldChar w:fldCharType="end"/>
                    </w:r>
                    <w:r>
                      <w:rPr>
                        <w:rFonts w:hint="eastAsia" w:ascii="宋体" w:eastAsia="宋体" w:cs="宋体"/>
                        <w:kern w:val="2"/>
                        <w:sz w:val="28"/>
                        <w:szCs w:val="28"/>
                        <w:lang w:val="en-US" w:eastAsia="zh-CN" w:bidi="ar-SA"/>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3516C">
    <w:pPr>
      <w:widowControl w:val="0"/>
      <w:tabs>
        <w:tab w:val="center" w:pos="4153"/>
        <w:tab w:val="right" w:pos="8306"/>
      </w:tabs>
      <w:snapToGrid w:val="0"/>
      <w:spacing w:line="580" w:lineRule="exact"/>
      <w:ind w:firstLine="360" w:firstLineChars="200"/>
      <w:jc w:val="left"/>
      <w:rPr>
        <w:rFonts w:ascii="Times New Roman" w:hAnsi="Times New Roman" w:eastAsia="仿宋_GB2312" w:cs="Times New Roman"/>
        <w:kern w:val="2"/>
        <w:sz w:val="18"/>
        <w:szCs w:val="24"/>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E597F">
    <w:pPr>
      <w:widowControl w:val="0"/>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ind w:firstLine="360" w:firstLineChars="200"/>
      <w:jc w:val="both"/>
      <w:outlineLvl w:val="9"/>
      <w:rPr>
        <w:rFonts w:ascii="Times New Roman" w:hAnsi="Times New Roman" w:eastAsia="仿宋_GB2312"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AA24B"/>
    <w:multiLevelType w:val="singleLevel"/>
    <w:tmpl w:val="EFFAA24B"/>
    <w:lvl w:ilvl="0" w:tentative="0">
      <w:start w:val="1"/>
      <w:numFmt w:val="decimal"/>
      <w:pStyle w:val="5"/>
      <w:lvlText w:val="%1."/>
      <w:lvlJc w:val="left"/>
      <w:pPr>
        <w:ind w:left="425" w:hanging="425"/>
      </w:pPr>
      <w:rPr>
        <w:rFonts w:hint="default"/>
      </w:rPr>
    </w:lvl>
  </w:abstractNum>
  <w:abstractNum w:abstractNumId="1">
    <w:nsid w:val="FDEC8544"/>
    <w:multiLevelType w:val="singleLevel"/>
    <w:tmpl w:val="FDEC8544"/>
    <w:lvl w:ilvl="0" w:tentative="0">
      <w:start w:val="1"/>
      <w:numFmt w:val="chineseCounting"/>
      <w:pStyle w:val="4"/>
      <w:suff w:val="nothing"/>
      <w:lvlText w:val="（%1）"/>
      <w:lvlJc w:val="left"/>
      <w:pPr>
        <w:ind w:left="0" w:firstLine="420"/>
      </w:pPr>
      <w:rPr>
        <w:rFonts w:hint="eastAsia"/>
      </w:rPr>
    </w:lvl>
  </w:abstractNum>
  <w:abstractNum w:abstractNumId="2">
    <w:nsid w:val="7FF40900"/>
    <w:multiLevelType w:val="singleLevel"/>
    <w:tmpl w:val="7FF40900"/>
    <w:lvl w:ilvl="0" w:tentative="0">
      <w:start w:val="1"/>
      <w:numFmt w:val="chineseCounting"/>
      <w:pStyle w:val="3"/>
      <w:suff w:val="nothing"/>
      <w:lvlText w:val="%1、"/>
      <w:lvlJc w:val="left"/>
      <w:pPr>
        <w:ind w:left="0" w:firstLine="397"/>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mirrorMargins w:val="1"/>
  <w:bordersDoNotSurroundHeader w:val="1"/>
  <w:bordersDoNotSurroundFooter w:val="1"/>
  <w:attachedTemplate r:id="rId1"/>
  <w:documentProtection w:enforcement="0"/>
  <w:defaultTabStop w:val="420"/>
  <w:drawingGridHorizontalSpacing w:val="158"/>
  <w:drawingGridVerticalSpacing w:val="277"/>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50F6E"/>
    <w:rsid w:val="01365232"/>
    <w:rsid w:val="1F2F8661"/>
    <w:rsid w:val="20D50F6E"/>
    <w:rsid w:val="23857844"/>
    <w:rsid w:val="30730627"/>
    <w:rsid w:val="51FEDEFE"/>
    <w:rsid w:val="53F9B615"/>
    <w:rsid w:val="57F9D3E6"/>
    <w:rsid w:val="5F57F742"/>
    <w:rsid w:val="625E7B88"/>
    <w:rsid w:val="62D11F6A"/>
    <w:rsid w:val="67C9B281"/>
    <w:rsid w:val="6DFF3638"/>
    <w:rsid w:val="7BFB3557"/>
    <w:rsid w:val="7E7ABF5D"/>
    <w:rsid w:val="7FDAED7E"/>
    <w:rsid w:val="BF5F4957"/>
    <w:rsid w:val="BFFFE1E2"/>
    <w:rsid w:val="F7BDEBD4"/>
    <w:rsid w:val="FF7BCB3A"/>
    <w:rsid w:val="FF9F9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80" w:lineRule="exact"/>
      <w:ind w:firstLine="0" w:firstLineChars="0"/>
      <w:jc w:val="center"/>
      <w:outlineLvl w:val="0"/>
    </w:pPr>
    <w:rPr>
      <w:rFonts w:eastAsia="方正小标宋简体"/>
      <w:kern w:val="44"/>
      <w:sz w:val="44"/>
    </w:rPr>
  </w:style>
  <w:style w:type="paragraph" w:styleId="3">
    <w:name w:val="heading 2"/>
    <w:basedOn w:val="1"/>
    <w:next w:val="1"/>
    <w:unhideWhenUsed/>
    <w:qFormat/>
    <w:uiPriority w:val="0"/>
    <w:pPr>
      <w:keepNext/>
      <w:keepLines/>
      <w:numPr>
        <w:ilvl w:val="0"/>
        <w:numId w:val="1"/>
      </w:numPr>
      <w:spacing w:beforeLines="0" w:beforeAutospacing="0" w:afterLines="0" w:afterAutospacing="0" w:line="580" w:lineRule="exact"/>
      <w:outlineLvl w:val="1"/>
    </w:pPr>
    <w:rPr>
      <w:rFonts w:eastAsia="方正黑体_GBK"/>
    </w:rPr>
  </w:style>
  <w:style w:type="paragraph" w:styleId="4">
    <w:name w:val="heading 3"/>
    <w:basedOn w:val="1"/>
    <w:next w:val="1"/>
    <w:link w:val="13"/>
    <w:unhideWhenUsed/>
    <w:qFormat/>
    <w:uiPriority w:val="0"/>
    <w:pPr>
      <w:keepNext/>
      <w:keepLines/>
      <w:numPr>
        <w:ilvl w:val="0"/>
        <w:numId w:val="2"/>
      </w:numPr>
      <w:spacing w:beforeLines="0" w:beforeAutospacing="0" w:afterLines="0" w:afterAutospacing="0" w:line="580" w:lineRule="exact"/>
      <w:outlineLvl w:val="2"/>
    </w:pPr>
    <w:rPr>
      <w:rFonts w:eastAsia="方正楷体_GBK"/>
    </w:rPr>
  </w:style>
  <w:style w:type="paragraph" w:styleId="5">
    <w:name w:val="heading 4"/>
    <w:basedOn w:val="1"/>
    <w:next w:val="1"/>
    <w:link w:val="14"/>
    <w:unhideWhenUsed/>
    <w:qFormat/>
    <w:uiPriority w:val="0"/>
    <w:pPr>
      <w:keepNext/>
      <w:keepLines/>
      <w:numPr>
        <w:ilvl w:val="0"/>
        <w:numId w:val="3"/>
      </w:numPr>
      <w:spacing w:beforeLines="0" w:beforeAutospacing="0" w:afterLines="0" w:afterAutospacing="0" w:line="580" w:lineRule="exact"/>
      <w:ind w:left="0"/>
      <w:outlineLvl w:val="3"/>
    </w:pPr>
    <w:rPr>
      <w:b/>
    </w:rPr>
  </w:style>
  <w:style w:type="paragraph" w:styleId="6">
    <w:name w:val="heading 5"/>
    <w:basedOn w:val="1"/>
    <w:next w:val="1"/>
    <w:unhideWhenUsed/>
    <w:qFormat/>
    <w:uiPriority w:val="0"/>
    <w:pPr>
      <w:keepNext/>
      <w:keepLines/>
      <w:spacing w:beforeLines="0" w:beforeAutospacing="0" w:afterLines="0" w:afterAutospacing="0" w:line="580" w:lineRule="exact"/>
      <w:ind w:firstLine="0" w:firstLineChars="0"/>
      <w:jc w:val="center"/>
      <w:outlineLvl w:val="4"/>
    </w:pPr>
    <w:rPr>
      <w:rFonts w:eastAsia="方正楷体_GBK"/>
    </w:rPr>
  </w:style>
  <w:style w:type="paragraph" w:styleId="7">
    <w:name w:val="heading 6"/>
    <w:basedOn w:val="1"/>
    <w:next w:val="1"/>
    <w:unhideWhenUsed/>
    <w:qFormat/>
    <w:uiPriority w:val="0"/>
    <w:pPr>
      <w:keepNext/>
      <w:keepLines/>
      <w:spacing w:beforeLines="0" w:beforeAutospacing="0" w:afterLines="0" w:afterAutospacing="0" w:line="580" w:lineRule="exact"/>
      <w:ind w:right="1264" w:rightChars="400" w:firstLine="0" w:firstLineChars="0"/>
      <w:jc w:val="right"/>
      <w:outlineLvl w:val="5"/>
    </w:p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3">
    <w:name w:val="标题 3 Char"/>
    <w:link w:val="4"/>
    <w:qFormat/>
    <w:uiPriority w:val="0"/>
    <w:rPr>
      <w:rFonts w:eastAsia="方正楷体_GBK"/>
    </w:rPr>
  </w:style>
  <w:style w:type="character" w:customStyle="1" w:styleId="14">
    <w:name w:val="标题 4 Char"/>
    <w:link w:val="5"/>
    <w:qFormat/>
    <w:uiPriority w:val="0"/>
    <w:rPr>
      <w:rFonts w:eastAsia="仿宋_GB2312"/>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xjkp\C:\Users\86422\AppData\Roaming\kingsoft\office6\templates\wps\zh_CN\&#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公文.dotx</Template>
  <Pages>23</Pages>
  <Words>1210</Words>
  <Characters>1219</Characters>
  <Lines>0</Lines>
  <Paragraphs>0</Paragraphs>
  <TotalTime>11</TotalTime>
  <ScaleCrop>false</ScaleCrop>
  <LinksUpToDate>false</LinksUpToDate>
  <CharactersWithSpaces>1219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2025-08-24T16:55:00Z</dcterms:created>
  <dc:creator>缪由之</dc:creator>
  <cp:lastModifiedBy>DONGQ-东青</cp:lastModifiedBy>
  <dcterms:modified xsi:type="dcterms:W3CDTF">2025-08-25T09:13:00Z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4BC75AD791004FBBAE5FF4240A241BCE_13</vt:lpwstr>
  </property>
  <property fmtid="{D5CDD505-2E9C-101B-9397-08002B2CF9AE}" pid="4" name="KSOTemplateDocerSaveRecord">
    <vt:lpwstr>eyJoZGlkIjoiMDcwYWMwYzlmMTA0ZTZjZTVkNDRjMGUyZmEzOGVjZGUiLCJ1c2VySWQiOiI3ODU2NjYxMzUifQ==</vt:lpwstr>
  </property>
</Properties>
</file>