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CD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40" w:firstLineChars="100"/>
        <w:jc w:val="center"/>
        <w:rPr>
          <w:rFonts w:hint="eastAsia" w:ascii="方正小标宋简体" w:hAnsi="方正小标宋简体" w:eastAsia="方正小标宋简体" w:cs="方正小标宋简体"/>
          <w:color w:val="000000"/>
          <w:kern w:val="0"/>
          <w:sz w:val="44"/>
          <w:szCs w:val="44"/>
          <w:bdr w:val="none" w:color="auto" w:sz="0" w:space="0"/>
          <w:lang w:val="en-US" w:eastAsia="zh-CN" w:bidi="ar"/>
        </w:rPr>
      </w:pPr>
    </w:p>
    <w:p w14:paraId="29739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440" w:firstLineChars="100"/>
        <w:jc w:val="center"/>
        <w:rPr>
          <w:rFonts w:hint="eastAsia" w:ascii="方正小标宋简体" w:hAnsi="方正小标宋简体" w:eastAsia="方正小标宋简体" w:cs="方正小标宋简体"/>
          <w:b/>
          <w:bCs/>
          <w:color w:val="000000"/>
          <w:kern w:val="0"/>
          <w:sz w:val="44"/>
          <w:szCs w:val="44"/>
          <w:bdr w:val="none" w:color="auto" w:sz="0" w:space="0"/>
          <w:lang w:val="en-US" w:eastAsia="zh-CN" w:bidi="ar"/>
        </w:rPr>
      </w:pPr>
      <w:r>
        <w:rPr>
          <w:rFonts w:hint="eastAsia" w:ascii="方正小标宋简体" w:hAnsi="方正小标宋简体" w:eastAsia="方正小标宋简体" w:cs="方正小标宋简体"/>
          <w:sz w:val="44"/>
          <w:szCs w:val="44"/>
          <w:lang w:val="en-US" w:eastAsia="zh-CN"/>
        </w:rPr>
        <w:t>2026湖南省足球联赛计划、规程修改部分及相关规定各市州意见归类稿</w:t>
      </w:r>
    </w:p>
    <w:p w14:paraId="7D708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仿宋_GB2312" w:hAnsi="仿宋_GB2312" w:eastAsia="仿宋_GB2312" w:cs="仿宋_GB2312"/>
          <w:b/>
          <w:bCs/>
          <w:color w:val="000000"/>
          <w:kern w:val="0"/>
          <w:sz w:val="32"/>
          <w:szCs w:val="32"/>
          <w:bdr w:val="none" w:color="auto" w:sz="0" w:space="0"/>
          <w:lang w:val="en-US" w:eastAsia="zh-CN" w:bidi="ar"/>
        </w:rPr>
      </w:pPr>
      <w:r>
        <w:rPr>
          <w:rFonts w:hint="eastAsia" w:ascii="仿宋_GB2312" w:hAnsi="仿宋_GB2312" w:eastAsia="仿宋_GB2312" w:cs="仿宋_GB2312"/>
          <w:b/>
          <w:bCs/>
          <w:color w:val="000000"/>
          <w:kern w:val="0"/>
          <w:sz w:val="32"/>
          <w:szCs w:val="32"/>
          <w:bdr w:val="none" w:color="auto" w:sz="0" w:space="0"/>
          <w:lang w:val="en-US" w:eastAsia="zh-CN" w:bidi="ar"/>
        </w:rPr>
        <w:t>一、长沙建议</w:t>
      </w:r>
    </w:p>
    <w:p w14:paraId="20BFD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为保障赛事规范有序、健康可持续开展，结合实际提出以下建议，同时附带相关疑问以供研讨。</w:t>
      </w:r>
    </w:p>
    <w:p w14:paraId="02557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一）坚持比赛统一性。组委会需尽快制定并下发涵盖经费保障、薪酬标准的正式红头文件至各相关市州，且文件内容一经确定不得随意更改，确保规则执行的严肃性与一致性。其中，需明确教练员、球员薪酬统一标准并严格落实到位；对于可用于发放教练员、球员相关报酬的其他赞助商费用，应设置上限管理，避免无节制投入引发 “金元足球” 现象，维护赛事公平竞争环境。</w:t>
      </w:r>
    </w:p>
    <w:p w14:paraId="02E9B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（二)坚持比赛原味性。建议赛事不引进中超、中甲、中乙等职业联赛球员，规避资本主导与复杂利益关系对赛事本质的干扰，保留赛事纯粹性；若确有必要引进相关球员，应明确要求其回户籍原籍参赛。</w:t>
      </w:r>
    </w:p>
    <w:p w14:paraId="70B4D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三）坚持比赛属地性。赛事组织需秉持节约、安全、精彩的办赛理念，属地赛区承担着协调、经费、竞赛、运营等多项重要保障任务，压力较大，建议将票务权益、商务开发权限全部下放至对应市州，以充分调动属地积极性，减轻其工作压力。</w:t>
      </w:r>
    </w:p>
    <w:p w14:paraId="5188A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同时，建议放宽运动员参赛年龄限制，将参赛年龄范围调整为 16 至 45 岁，进一步提升赛事的大众化属性，吸引更多市民参与其中。</w:t>
      </w:r>
    </w:p>
    <w:p w14:paraId="79C93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此外，针对赛事相关规则存在两点疑问：一是回户籍地参赛的具体适用范围与执行细则如何明确；二是运动员超龄参赛政策是否仍沿用允许每队超龄 2 人的标准。</w:t>
      </w:r>
    </w:p>
    <w:p w14:paraId="3722AB80">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p>
    <w:p w14:paraId="22B35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bdr w:val="none" w:color="auto" w:sz="0" w:space="0"/>
          <w:lang w:val="en-US" w:eastAsia="zh-CN"/>
        </w:rPr>
        <w:t>二、</w:t>
      </w:r>
      <w:r>
        <w:rPr>
          <w:rFonts w:hint="eastAsia" w:ascii="仿宋_GB2312" w:hAnsi="仿宋_GB2312" w:eastAsia="仿宋_GB2312" w:cs="仿宋_GB2312"/>
          <w:b/>
          <w:bCs/>
          <w:color w:val="000000"/>
          <w:sz w:val="32"/>
          <w:szCs w:val="32"/>
          <w:bdr w:val="none" w:color="auto" w:sz="0" w:space="0"/>
        </w:rPr>
        <w:t>湘潭建议</w:t>
      </w:r>
    </w:p>
    <w:p w14:paraId="0E8E2DA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资格条款第二条第五点：非湖南户籍大学生，建议采用以下两种方案中的一种执行，方案一为禁止参赛，方案二为参照去年内援相关规则参赛。</w:t>
      </w:r>
    </w:p>
    <w:p w14:paraId="42B2F6CE">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二）</w:t>
      </w:r>
      <w:r>
        <w:rPr>
          <w:rFonts w:hint="eastAsia" w:ascii="仿宋_GB2312" w:hAnsi="仿宋_GB2312" w:eastAsia="仿宋_GB2312" w:cs="仿宋_GB2312"/>
          <w:color w:val="000000"/>
          <w:sz w:val="32"/>
          <w:szCs w:val="32"/>
          <w:bdr w:val="none" w:color="auto" w:sz="0" w:space="0"/>
        </w:rPr>
        <w:t>建议取消大学生户籍优先权。</w:t>
      </w:r>
    </w:p>
    <w:p w14:paraId="60CFF1A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color w:val="000000"/>
          <w:sz w:val="32"/>
          <w:szCs w:val="32"/>
          <w:bdr w:val="none" w:color="auto" w:sz="0" w:space="0"/>
        </w:rPr>
      </w:pPr>
    </w:p>
    <w:p w14:paraId="411142D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邵阳建议：</w:t>
      </w:r>
    </w:p>
    <w:p w14:paraId="35154B2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 赛季大学生球员，非湖南户籍人员建议采用以下两种方案中的一种执行，方案一为统一按内援相关规则参赛，方案二为统一禁止参赛。</w:t>
      </w:r>
    </w:p>
    <w:p w14:paraId="636C5387">
      <w:pPr>
        <w:keepNext w:val="0"/>
        <w:keepLines w:val="0"/>
        <w:pageBreakBefore w:val="0"/>
        <w:widowControl w:val="0"/>
        <w:numPr>
          <w:numId w:val="0"/>
        </w:numPr>
        <w:kinsoku/>
        <w:wordWrap/>
        <w:overflowPunct/>
        <w:topLinePunct w:val="0"/>
        <w:autoSpaceDE/>
        <w:autoSpaceDN/>
        <w:bidi w:val="0"/>
        <w:adjustRightInd/>
        <w:snapToGrid/>
        <w:spacing w:before="480" w:after="480" w:line="360" w:lineRule="auto"/>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四、常德建议：</w:t>
      </w:r>
      <w:r>
        <w:rPr>
          <w:rFonts w:hint="eastAsia" w:ascii="仿宋_GB2312" w:hAnsi="仿宋_GB2312" w:eastAsia="仿宋_GB2312" w:cs="仿宋_GB2312"/>
          <w:b/>
          <w:sz w:val="32"/>
          <w:szCs w:val="32"/>
        </w:rPr>
        <w:t>关于《薪酬标准》及《竞赛规程（草案）》的优化补充建议</w:t>
      </w:r>
    </w:p>
    <w:p w14:paraId="7C939B2F">
      <w:pPr>
        <w:keepNext w:val="0"/>
        <w:keepLines w:val="0"/>
        <w:pageBreakBefore w:val="0"/>
        <w:widowControl w:val="0"/>
        <w:numPr>
          <w:numId w:val="0"/>
        </w:numPr>
        <w:kinsoku/>
        <w:wordWrap/>
        <w:overflowPunct/>
        <w:topLinePunct w:val="0"/>
        <w:autoSpaceDE/>
        <w:autoSpaceDN/>
        <w:bidi w:val="0"/>
        <w:adjustRightInd/>
        <w:snapToGrid/>
        <w:spacing w:before="480" w:after="48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联赛运行机制，保障联赛公平性、增强制度弹性与可操作性，同时有效激励球员与球队积极性、规范竞赛管理流程，现结合实际运营需求，对《薪酬标准》及《竞赛规程（草案）》提出如下补充与优化建议。</w:t>
      </w:r>
    </w:p>
    <w:p w14:paraId="2878D864">
      <w:pPr>
        <w:keepNext w:val="0"/>
        <w:keepLines w:val="0"/>
        <w:pageBreakBefore w:val="0"/>
        <w:widowControl w:val="0"/>
        <w:kinsoku/>
        <w:wordWrap/>
        <w:overflowPunct/>
        <w:topLinePunct w:val="0"/>
        <w:autoSpaceDE/>
        <w:autoSpaceDN/>
        <w:bidi w:val="0"/>
        <w:adjustRightInd/>
        <w:snapToGrid/>
        <w:spacing w:before="380" w:after="140" w:line="360" w:lineRule="auto"/>
        <w:jc w:val="left"/>
        <w:textAlignment w:val="auto"/>
        <w:outlineLvl w:val="9"/>
        <w:rPr>
          <w:rFonts w:hint="eastAsia" w:ascii="仿宋_GB2312" w:hAnsi="仿宋_GB2312" w:eastAsia="仿宋_GB2312" w:cs="仿宋_GB2312"/>
          <w:sz w:val="32"/>
          <w:szCs w:val="32"/>
        </w:rPr>
      </w:pPr>
      <w:bookmarkStart w:id="0" w:name="heading_0"/>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关于《薪酬标准》的补充建议</w:t>
      </w:r>
      <w:bookmarkEnd w:id="0"/>
    </w:p>
    <w:p w14:paraId="6B20AED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本次建议聚焦赞助关联奖励监管、关键奖励上限设定及特殊群体补贴调整，在保障联赛基本公平的前提下，提升薪酬制度的适配性与激励效能。</w:t>
      </w:r>
    </w:p>
    <w:p w14:paraId="2568C58F">
      <w:pPr>
        <w:keepNext w:val="0"/>
        <w:keepLines w:val="0"/>
        <w:pageBreakBefore w:val="0"/>
        <w:widowControl w:val="0"/>
        <w:kinsoku/>
        <w:wordWrap/>
        <w:overflowPunct/>
        <w:topLinePunct w:val="0"/>
        <w:autoSpaceDE/>
        <w:autoSpaceDN/>
        <w:bidi w:val="0"/>
        <w:adjustRightInd/>
        <w:snapToGrid/>
        <w:spacing w:before="320" w:after="120" w:line="360" w:lineRule="auto"/>
        <w:jc w:val="left"/>
        <w:textAlignment w:val="auto"/>
        <w:outlineLvl w:val="9"/>
        <w:rPr>
          <w:rFonts w:hint="eastAsia" w:ascii="仿宋_GB2312" w:hAnsi="仿宋_GB2312" w:eastAsia="仿宋_GB2312" w:cs="仿宋_GB2312"/>
          <w:sz w:val="32"/>
          <w:szCs w:val="32"/>
        </w:rPr>
      </w:pPr>
      <w:bookmarkStart w:id="1" w:name="heading_1"/>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）规范赞助关联奖励的监管机制</w:t>
      </w:r>
      <w:bookmarkEnd w:id="1"/>
    </w:p>
    <w:p w14:paraId="1F692D82">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在条款中明确：“各球队基于商业赞助合同、赞助费或其他形式赞助，所独立设立并发放的任何现金、实物或权益类奖励，均应在实施前向联赛薪酬委员会进行专项报备。报备材料应包括赞助方信息、协议关键条款、具体奖励方案及发放依据。薪酬委员会有权对可能影响联赛财务健康或竞争公平性的方案提出质询或调整建议。”通过明确报备义务与监管权限，杜绝违规激励行为，维护联赛财务秩序与竞争公平。</w:t>
      </w:r>
      <w:bookmarkStart w:id="2" w:name="heading_2"/>
    </w:p>
    <w:p w14:paraId="4ED81C01">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）设定关键奖励项目的合理上限</w:t>
      </w:r>
      <w:bookmarkEnd w:id="2"/>
    </w:p>
    <w:p w14:paraId="0FF0B050">
      <w:pPr>
        <w:keepNext w:val="0"/>
        <w:keepLines w:val="0"/>
        <w:pageBreakBefore w:val="0"/>
        <w:widowControl w:val="0"/>
        <w:numPr>
          <w:numId w:val="0"/>
        </w:numPr>
        <w:kinsoku/>
        <w:wordWrap/>
        <w:overflowPunct/>
        <w:topLinePunct w:val="0"/>
        <w:autoSpaceDE/>
        <w:autoSpaceDN/>
        <w:bidi w:val="0"/>
        <w:adjustRightInd/>
        <w:snapToGrid/>
        <w:spacing w:before="120" w:after="120" w:line="360" w:lineRule="auto"/>
        <w:ind w:firstLine="321" w:firstLineChars="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单场赞助关联奖金</w:t>
      </w:r>
      <w:r>
        <w:rPr>
          <w:rFonts w:hint="eastAsia" w:ascii="仿宋_GB2312" w:hAnsi="仿宋_GB2312" w:eastAsia="仿宋_GB2312" w:cs="仿宋_GB2312"/>
          <w:sz w:val="32"/>
          <w:szCs w:val="32"/>
        </w:rPr>
        <w:t>：建议明确“每场比赛由赞助直接驱动的额外现金奖励总额，以人民币10万元为上限”，避免单场奖励过高引发恶性竞争。</w:t>
      </w:r>
    </w:p>
    <w:p w14:paraId="0C0A7B8E">
      <w:pPr>
        <w:keepNext w:val="0"/>
        <w:keepLines w:val="0"/>
        <w:pageBreakBefore w:val="0"/>
        <w:widowControl w:val="0"/>
        <w:numPr>
          <w:numId w:val="0"/>
        </w:numPr>
        <w:kinsoku/>
        <w:wordWrap/>
        <w:overflowPunct/>
        <w:topLinePunct w:val="0"/>
        <w:autoSpaceDE/>
        <w:autoSpaceDN/>
        <w:bidi w:val="0"/>
        <w:adjustRightInd/>
        <w:snapToGrid/>
        <w:spacing w:before="120" w:after="120" w:line="360" w:lineRule="auto"/>
        <w:ind w:firstLine="321" w:firstLineChars="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赛季最终排名奖励</w:t>
      </w:r>
      <w:r>
        <w:rPr>
          <w:rFonts w:hint="eastAsia" w:ascii="仿宋_GB2312" w:hAnsi="仿宋_GB2312" w:eastAsia="仿宋_GB2312" w:cs="仿宋_GB2312"/>
          <w:sz w:val="32"/>
          <w:szCs w:val="32"/>
        </w:rPr>
        <w:t>：建议明确“球队因联赛最终排名而自主发放的现金奖励总额，以人民币150万元为上限。各球队应避免设置房产、车辆等高价值实物奖励或其他可能引发争议的非现金激励，确保奖励方式透明、合规”，兼顾激励性与规范性。</w:t>
      </w:r>
    </w:p>
    <w:p w14:paraId="481E3E5C">
      <w:pPr>
        <w:keepNext w:val="0"/>
        <w:keepLines w:val="0"/>
        <w:pageBreakBefore w:val="0"/>
        <w:widowControl w:val="0"/>
        <w:numPr>
          <w:numId w:val="0"/>
        </w:numPr>
        <w:kinsoku/>
        <w:wordWrap/>
        <w:overflowPunct/>
        <w:topLinePunct w:val="0"/>
        <w:autoSpaceDE/>
        <w:autoSpaceDN/>
        <w:bidi w:val="0"/>
        <w:adjustRightInd/>
        <w:snapToGrid/>
        <w:spacing w:before="120" w:after="120" w:line="360" w:lineRule="auto"/>
        <w:ind w:firstLine="321" w:firstLineChars="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特殊群体补贴的灵活调整空间</w:t>
      </w:r>
      <w:r>
        <w:rPr>
          <w:rFonts w:hint="eastAsia" w:ascii="仿宋_GB2312" w:hAnsi="仿宋_GB2312" w:eastAsia="仿宋_GB2312" w:cs="仿宋_GB2312"/>
          <w:sz w:val="32"/>
          <w:szCs w:val="32"/>
        </w:rPr>
        <w:t>：考虑到“大学生球员”和“社会球员”（指无固定职业足球薪酬来源的球员）在投入成本与实际需求上的特殊性，为鼓励两类群体积极参与联赛，建议允许球队对其“比赛补贴”标准，在履行说明与备案程序后，于官方基础标准之上适度上浮，并设定明确上浮比例上限（例如不超过基础标准的50%），兼顾特殊性与制度统一性。</w:t>
      </w:r>
    </w:p>
    <w:p w14:paraId="7BDA5E58">
      <w:pPr>
        <w:keepNext w:val="0"/>
        <w:keepLines w:val="0"/>
        <w:pageBreakBefore w:val="0"/>
        <w:widowControl w:val="0"/>
        <w:kinsoku/>
        <w:wordWrap/>
        <w:overflowPunct/>
        <w:topLinePunct w:val="0"/>
        <w:autoSpaceDE/>
        <w:autoSpaceDN/>
        <w:bidi w:val="0"/>
        <w:adjustRightInd/>
        <w:snapToGrid/>
        <w:spacing w:before="380" w:after="140" w:line="360" w:lineRule="auto"/>
        <w:jc w:val="left"/>
        <w:textAlignment w:val="auto"/>
        <w:outlineLvl w:val="9"/>
        <w:rPr>
          <w:rFonts w:hint="eastAsia" w:ascii="仿宋_GB2312" w:hAnsi="仿宋_GB2312" w:eastAsia="仿宋_GB2312" w:cs="仿宋_GB2312"/>
          <w:sz w:val="32"/>
          <w:szCs w:val="32"/>
        </w:rPr>
      </w:pPr>
      <w:bookmarkStart w:id="3" w:name="heading_3"/>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关于《竞赛规程（草案）》的优化建议</w:t>
      </w:r>
      <w:bookmarkEnd w:id="3"/>
    </w:p>
    <w:p w14:paraId="6727738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本次建议围绕权益下放、资格审核、现场管理三大维度细化条款，提升规程的可操作性，充分调动各方积极性，规范竞赛全流程管理。</w:t>
      </w:r>
    </w:p>
    <w:p w14:paraId="3C3B4A8B">
      <w:pPr>
        <w:keepNext w:val="0"/>
        <w:keepLines w:val="0"/>
        <w:pageBreakBefore w:val="0"/>
        <w:widowControl w:val="0"/>
        <w:kinsoku/>
        <w:wordWrap/>
        <w:overflowPunct/>
        <w:topLinePunct w:val="0"/>
        <w:autoSpaceDE/>
        <w:autoSpaceDN/>
        <w:bidi w:val="0"/>
        <w:adjustRightInd/>
        <w:snapToGrid/>
        <w:spacing w:before="320" w:after="120" w:line="360" w:lineRule="auto"/>
        <w:ind w:left="0" w:firstLine="643" w:firstLineChars="200"/>
        <w:jc w:val="left"/>
        <w:textAlignment w:val="auto"/>
        <w:outlineLvl w:val="9"/>
        <w:rPr>
          <w:rFonts w:hint="eastAsia" w:ascii="仿宋_GB2312" w:hAnsi="仿宋_GB2312" w:eastAsia="仿宋_GB2312" w:cs="仿宋_GB2312"/>
          <w:sz w:val="32"/>
          <w:szCs w:val="32"/>
        </w:rPr>
      </w:pPr>
      <w:bookmarkStart w:id="4" w:name="heading_4"/>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明确商务与票务权益的下放原则</w:t>
      </w:r>
      <w:bookmarkEnd w:id="4"/>
    </w:p>
    <w:p w14:paraId="57001C9E">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调动各市州赛区及球队的积极性，盘活本地市场资源，激发运营活力，建议在《竞赛规程》中明确：“联赛的本地商务开发权益（如主场场地广告、区域特许商品等）及主场票务运营权，原则上由参赛球队或其所属市州赛区，在遵守联赛统一品牌规范的前提下自主经营，所得收益归运营方所有。具体实施细则由组委会另行颁布。”通过清晰界定权益归属与经营边界，实现联赛统筹与地方自主的有机结合。</w:t>
      </w:r>
    </w:p>
    <w:p w14:paraId="5F0C66E4">
      <w:pPr>
        <w:keepNext w:val="0"/>
        <w:keepLines w:val="0"/>
        <w:pageBreakBefore w:val="0"/>
        <w:widowControl w:val="0"/>
        <w:kinsoku/>
        <w:wordWrap/>
        <w:overflowPunct/>
        <w:topLinePunct w:val="0"/>
        <w:autoSpaceDE/>
        <w:autoSpaceDN/>
        <w:bidi w:val="0"/>
        <w:adjustRightInd/>
        <w:snapToGrid/>
        <w:spacing w:before="320" w:after="120" w:line="360" w:lineRule="auto"/>
        <w:jc w:val="left"/>
        <w:textAlignment w:val="auto"/>
        <w:outlineLvl w:val="9"/>
        <w:rPr>
          <w:rFonts w:hint="eastAsia" w:ascii="仿宋_GB2312" w:hAnsi="仿宋_GB2312" w:eastAsia="仿宋_GB2312" w:cs="仿宋_GB2312"/>
          <w:sz w:val="32"/>
          <w:szCs w:val="32"/>
        </w:rPr>
      </w:pPr>
      <w:bookmarkStart w:id="5" w:name="heading_5"/>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细化球员资格审核要求</w:t>
      </w:r>
      <w:bookmarkEnd w:id="5"/>
    </w:p>
    <w:p w14:paraId="69D31CC3">
      <w:pPr>
        <w:keepNext w:val="0"/>
        <w:keepLines w:val="0"/>
        <w:pageBreakBefore w:val="0"/>
        <w:widowControl w:val="0"/>
        <w:numPr>
          <w:numId w:val="0"/>
        </w:numPr>
        <w:kinsoku/>
        <w:wordWrap/>
        <w:overflowPunct/>
        <w:topLinePunct w:val="0"/>
        <w:autoSpaceDE/>
        <w:autoSpaceDN/>
        <w:bidi w:val="0"/>
        <w:adjustRightInd/>
        <w:snapToGrid/>
        <w:spacing w:before="120" w:after="120" w:line="360" w:lineRule="auto"/>
        <w:ind w:firstLine="320" w:firstLineChars="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针对“2004年1月1日-2007年12月31日年龄段无大学学籍队员”：建议明确此类球员的资格认定流程、所需证明材料及最终审核部门，建立标准化审核机制，确保资格认定标准统一、程序清晰，杜绝资格漏洞，维护联赛参赛资格的严肃性。</w:t>
      </w:r>
    </w:p>
    <w:p w14:paraId="7F8EF4CF">
      <w:pPr>
        <w:keepNext w:val="0"/>
        <w:keepLines w:val="0"/>
        <w:pageBreakBefore w:val="0"/>
        <w:widowControl w:val="0"/>
        <w:numPr>
          <w:numId w:val="0"/>
        </w:numPr>
        <w:kinsoku/>
        <w:wordWrap/>
        <w:overflowPunct/>
        <w:topLinePunct w:val="0"/>
        <w:autoSpaceDE/>
        <w:autoSpaceDN/>
        <w:bidi w:val="0"/>
        <w:adjustRightInd/>
        <w:snapToGrid/>
        <w:spacing w:before="120" w:after="120" w:line="360" w:lineRule="auto"/>
        <w:ind w:firstLine="320" w:firstLineChars="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针对“大学生球员”身份核实：建议明确要求以“大学生”身份注册的球员，必须在赛季注册时及期中审核节点，提交有效的在校学籍证明（如加盖公章的学生证复印件、学信网在线认证报告等），并由相关部门核对存档，确保其身份持续符合规定，杜绝身份造假。</w:t>
      </w:r>
    </w:p>
    <w:p w14:paraId="2D20475B">
      <w:pPr>
        <w:keepNext w:val="0"/>
        <w:keepLines w:val="0"/>
        <w:pageBreakBefore w:val="0"/>
        <w:widowControl w:val="0"/>
        <w:kinsoku/>
        <w:wordWrap/>
        <w:overflowPunct/>
        <w:topLinePunct w:val="0"/>
        <w:autoSpaceDE/>
        <w:autoSpaceDN/>
        <w:bidi w:val="0"/>
        <w:adjustRightInd/>
        <w:snapToGrid/>
        <w:spacing w:before="320" w:after="120" w:line="360" w:lineRule="auto"/>
        <w:jc w:val="left"/>
        <w:textAlignment w:val="auto"/>
        <w:outlineLvl w:val="9"/>
        <w:rPr>
          <w:rFonts w:hint="eastAsia" w:ascii="仿宋_GB2312" w:hAnsi="仿宋_GB2312" w:eastAsia="仿宋_GB2312" w:cs="仿宋_GB2312"/>
          <w:sz w:val="32"/>
          <w:szCs w:val="32"/>
        </w:rPr>
      </w:pPr>
      <w:bookmarkStart w:id="6" w:name="heading_6"/>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）完善替补席管理配置</w:t>
      </w:r>
      <w:bookmarkEnd w:id="6"/>
    </w:p>
    <w:p w14:paraId="7F9EBD85">
      <w:pPr>
        <w:keepNext w:val="0"/>
        <w:keepLines w:val="0"/>
        <w:pageBreakBefore w:val="0"/>
        <w:widowControl w:val="0"/>
        <w:kinsoku/>
        <w:wordWrap/>
        <w:overflowPunct/>
        <w:topLinePunct w:val="0"/>
        <w:autoSpaceDE/>
        <w:autoSpaceDN/>
        <w:bidi w:val="0"/>
        <w:adjustRightInd/>
        <w:snapToGrid/>
        <w:spacing w:before="120" w:after="120" w:line="360" w:lineRule="auto"/>
        <w:ind w:lef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强化球队现场管理、规范技术区域秩序，保障比赛顺利开展，建议在《竞赛规程》中补充：“技术区域（替补席）应为副领队预留固定席位，其职责与行为规范须遵守联赛相关规定。”通过明确人员配置要求，压实球队现场管理责任，维护技术区域的有序性。</w:t>
      </w:r>
    </w:p>
    <w:p w14:paraId="77DA299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14:paraId="1430D1E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五、益阳意见：</w:t>
      </w:r>
      <w:r>
        <w:rPr>
          <w:rFonts w:hint="eastAsia" w:ascii="仿宋_GB2312" w:hAnsi="仿宋_GB2312" w:eastAsia="仿宋_GB2312" w:cs="仿宋_GB2312"/>
          <w:sz w:val="32"/>
          <w:szCs w:val="32"/>
          <w:lang w:val="en-US" w:eastAsia="zh-CN"/>
        </w:rPr>
        <w:t>“湖南人踢湘超，湘超湖南人踢”是联赛的核心定位，它凝聚了本土球迷的情感认同，也塑造了赛事的独特品牌。为进一步夯实这一核心原则，现针对非湖南户籍大学生的参赛资格，提出以下两种优化方案，供组委会参考。</w:t>
      </w:r>
    </w:p>
    <w:p w14:paraId="1727127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方案一：彻底落实本土定位，全面取消非湖南户籍大学生参赛资格</w:t>
      </w:r>
    </w:p>
    <w:p w14:paraId="0C23B4B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核心理由：这一方案最直接地呼应了“湖南人踢湘超”的口号，能从根源上强化赛事的本土属性，避免资格争议，让球迷与球员更清晰地感知到湘超属于湖南人的情感联结。</w:t>
      </w:r>
    </w:p>
    <w:p w14:paraId="360F5B9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建议：从2026赛季起，所有参赛球员需具备湖南户籍（或身份证前四位为湖南地市编码），非湖南户籍的在校大学生不再具备参赛资格。这一清晰的规则边界，也能简化赛事资格审核流程，降低后续管理成本。</w:t>
      </w:r>
    </w:p>
    <w:p w14:paraId="14B96B3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方案二：兼顾舆情平稳与规则过渡，设置限制性保留名额</w:t>
      </w:r>
    </w:p>
    <w:p w14:paraId="17FBB50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核心理由：考虑到2025赛季部分球队因非湖南户籍大学生球员的参与获得了较高关注度，为避免规则突变引发的舆情波动，可采取“软着陆”的过渡性安排，既维护赛事定位，又保障赛事热度。</w:t>
      </w:r>
    </w:p>
    <w:p w14:paraId="42C2DD0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具体规则：</w:t>
      </w:r>
    </w:p>
    <w:p w14:paraId="4F8E9C6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名额限制：允许每支球队最多注册2名非湖南户籍大学生球员，以延续球队原有阵容的稳定性。</w:t>
      </w:r>
    </w:p>
    <w:p w14:paraId="17A5BDD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出场限制：每队单场比赛仅允许1名非湖南籍大学生球员同时在场，若更换该类球员登场，需先将场上现有非湖南籍大学生球员换下。确保本土球员仍是赛场主力，不偏离“湘超湖南人踢”的核心原则。</w:t>
      </w:r>
    </w:p>
    <w:p w14:paraId="3374E2E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时间限制：此过渡性安排仅保留1-2个赛季，待球迷与球队适应新规则后，再逐步过渡到全本土参赛模式。 </w:t>
      </w:r>
    </w:p>
    <w:p w14:paraId="7F4CE11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建议总结：</w:t>
      </w:r>
    </w:p>
    <w:p w14:paraId="672DEF5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两种方案各有侧重：方案一能快速确立清晰的本土赛事定位，适合希望坚定品牌形象的长远规划；方案二则更注重舆情与赛事热度的平稳过渡，适合需要兼顾短期影响的现实考量。无论选择哪种方案，都能进一步强化湘超联赛的本土属性，让“湖南人踢湘超”的口号深入人心。</w:t>
      </w:r>
    </w:p>
    <w:p w14:paraId="40DC47D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b/>
          <w:bCs/>
          <w:sz w:val="32"/>
          <w:szCs w:val="32"/>
          <w:lang w:val="en-US" w:eastAsia="zh-CN"/>
        </w:rPr>
        <w:t>永州建议</w:t>
      </w:r>
      <w:r>
        <w:rPr>
          <w:rFonts w:hint="eastAsia" w:ascii="仿宋_GB2312" w:hAnsi="仿宋_GB2312" w:eastAsia="仿宋_GB2312" w:cs="仿宋_GB2312"/>
          <w:sz w:val="32"/>
          <w:szCs w:val="32"/>
          <w:lang w:val="en-US" w:eastAsia="zh-CN"/>
        </w:rPr>
        <w:t>：</w:t>
      </w:r>
    </w:p>
    <w:p w14:paraId="4F44128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（1)中学生交流2名 (2)球员归属感，严格落实户籍；（3）建议票务使用猫眼购票</w:t>
      </w:r>
    </w:p>
    <w:p w14:paraId="481DA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bdr w:val="none" w:color="auto" w:sz="0" w:space="0"/>
          <w:lang w:val="en-US" w:eastAsia="zh-CN"/>
        </w:rPr>
        <w:t>七、</w:t>
      </w:r>
      <w:r>
        <w:rPr>
          <w:rFonts w:hint="eastAsia" w:ascii="仿宋_GB2312" w:hAnsi="仿宋_GB2312" w:eastAsia="仿宋_GB2312" w:cs="仿宋_GB2312"/>
          <w:b/>
          <w:bCs/>
          <w:color w:val="000000"/>
          <w:sz w:val="32"/>
          <w:szCs w:val="32"/>
          <w:bdr w:val="none" w:color="auto" w:sz="0" w:space="0"/>
        </w:rPr>
        <w:t>娄底建议</w:t>
      </w:r>
    </w:p>
    <w:p w14:paraId="0A92F45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参赛运动员户籍：2025 年及以后落户的人员，中学生可放宽户籍限制；同时建议为中学生组别增加一次换人机会。</w:t>
      </w:r>
    </w:p>
    <w:p w14:paraId="72DD1C9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二）</w:t>
      </w:r>
      <w:r>
        <w:rPr>
          <w:rFonts w:hint="eastAsia" w:ascii="仿宋_GB2312" w:hAnsi="仿宋_GB2312" w:eastAsia="仿宋_GB2312" w:cs="仿宋_GB2312"/>
          <w:color w:val="000000"/>
          <w:sz w:val="32"/>
          <w:szCs w:val="32"/>
          <w:bdr w:val="none" w:color="auto" w:sz="0" w:space="0"/>
        </w:rPr>
        <w:t>湘超赛事赞助奖金分配：建议将三分之一用于湘女超赛事，另外三分之一用于中青赛赛事。</w:t>
      </w:r>
    </w:p>
    <w:p w14:paraId="6E7D24D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三）</w:t>
      </w:r>
      <w:r>
        <w:rPr>
          <w:rFonts w:hint="eastAsia" w:ascii="仿宋_GB2312" w:hAnsi="仿宋_GB2312" w:eastAsia="仿宋_GB2312" w:cs="仿宋_GB2312"/>
          <w:color w:val="000000"/>
          <w:sz w:val="32"/>
          <w:szCs w:val="32"/>
          <w:bdr w:val="none" w:color="auto" w:sz="0" w:space="0"/>
        </w:rPr>
        <w:t>中学生参赛资格：建议中学生运动员需代表所属市州满 2 年，取消一年一签的模式。</w:t>
      </w:r>
    </w:p>
    <w:p w14:paraId="7BE8F0D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四）</w:t>
      </w:r>
      <w:r>
        <w:rPr>
          <w:rFonts w:hint="eastAsia" w:ascii="仿宋_GB2312" w:hAnsi="仿宋_GB2312" w:eastAsia="仿宋_GB2312" w:cs="仿宋_GB2312"/>
          <w:color w:val="000000"/>
          <w:sz w:val="32"/>
          <w:szCs w:val="32"/>
          <w:bdr w:val="none" w:color="auto" w:sz="0" w:space="0"/>
        </w:rPr>
        <w:t>大学年龄段球员流动：建议 2025 年放开大学年龄段球员的自由交流限制。</w:t>
      </w:r>
    </w:p>
    <w:p w14:paraId="5DD8883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五）</w:t>
      </w:r>
      <w:r>
        <w:rPr>
          <w:rFonts w:hint="eastAsia" w:ascii="仿宋_GB2312" w:hAnsi="仿宋_GB2312" w:eastAsia="仿宋_GB2312" w:cs="仿宋_GB2312"/>
          <w:color w:val="000000"/>
          <w:sz w:val="32"/>
          <w:szCs w:val="32"/>
          <w:bdr w:val="none" w:color="auto" w:sz="0" w:space="0"/>
        </w:rPr>
        <w:t>引进人员参赛资格：建议编制内引进人员，无论是否具备职业球员经历，均可直接获得参赛资格。</w:t>
      </w:r>
    </w:p>
    <w:p w14:paraId="52901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b/>
          <w:bCs/>
          <w:color w:val="000000"/>
          <w:sz w:val="32"/>
          <w:szCs w:val="32"/>
          <w:bdr w:val="none" w:color="auto" w:sz="0" w:space="0"/>
        </w:rPr>
      </w:pPr>
      <w:r>
        <w:rPr>
          <w:rFonts w:hint="eastAsia" w:ascii="仿宋_GB2312" w:hAnsi="仿宋_GB2312" w:eastAsia="仿宋_GB2312" w:cs="仿宋_GB2312"/>
          <w:b/>
          <w:bCs/>
          <w:color w:val="000000"/>
          <w:sz w:val="32"/>
          <w:szCs w:val="32"/>
          <w:bdr w:val="none" w:color="auto" w:sz="0" w:space="0"/>
          <w:lang w:val="en-US" w:eastAsia="zh-CN"/>
        </w:rPr>
        <w:t>八、</w:t>
      </w:r>
      <w:r>
        <w:rPr>
          <w:rFonts w:hint="eastAsia" w:ascii="仿宋_GB2312" w:hAnsi="仿宋_GB2312" w:eastAsia="仿宋_GB2312" w:cs="仿宋_GB2312"/>
          <w:b/>
          <w:bCs/>
          <w:color w:val="000000"/>
          <w:sz w:val="32"/>
          <w:szCs w:val="32"/>
          <w:bdr w:val="none" w:color="auto" w:sz="0" w:space="0"/>
        </w:rPr>
        <w:t>湘西建议</w:t>
      </w:r>
    </w:p>
    <w:p w14:paraId="2D322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非湖南户籍的外籍大学生，建议禁止参赛。</w:t>
      </w:r>
    </w:p>
    <w:p w14:paraId="468F811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二）</w:t>
      </w:r>
      <w:r>
        <w:rPr>
          <w:rFonts w:hint="eastAsia" w:ascii="仿宋_GB2312" w:hAnsi="仿宋_GB2312" w:eastAsia="仿宋_GB2312" w:cs="仿宋_GB2312"/>
          <w:color w:val="000000"/>
          <w:sz w:val="32"/>
          <w:szCs w:val="32"/>
          <w:bdr w:val="none" w:color="auto" w:sz="0" w:space="0"/>
        </w:rPr>
        <w:t>建议将赛事相关薪酬方案以红头文件形式正式印发。</w:t>
      </w:r>
    </w:p>
    <w:p w14:paraId="13300E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bdr w:val="none" w:color="auto" w:sz="0" w:space="0"/>
          <w:lang w:val="en-US" w:eastAsia="zh-CN"/>
        </w:rPr>
        <w:t>九、</w:t>
      </w:r>
      <w:r>
        <w:rPr>
          <w:rFonts w:hint="eastAsia" w:ascii="仿宋_GB2312" w:hAnsi="仿宋_GB2312" w:eastAsia="仿宋_GB2312" w:cs="仿宋_GB2312"/>
          <w:b/>
          <w:bCs/>
          <w:color w:val="000000"/>
          <w:sz w:val="32"/>
          <w:szCs w:val="32"/>
          <w:bdr w:val="none" w:color="auto" w:sz="0" w:space="0"/>
        </w:rPr>
        <w:t>怀化建议</w:t>
      </w:r>
    </w:p>
    <w:p w14:paraId="3F137E3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2025 赛季非湖南户籍大学生建议禁止参赛，避免对未引进该类球员的队伍造成不公平竞争。</w:t>
      </w:r>
    </w:p>
    <w:p w14:paraId="309975B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二）</w:t>
      </w:r>
      <w:r>
        <w:rPr>
          <w:rFonts w:hint="eastAsia" w:ascii="仿宋_GB2312" w:hAnsi="仿宋_GB2312" w:eastAsia="仿宋_GB2312" w:cs="仿宋_GB2312"/>
          <w:color w:val="000000"/>
          <w:sz w:val="32"/>
          <w:szCs w:val="32"/>
          <w:bdr w:val="none" w:color="auto" w:sz="0" w:space="0"/>
        </w:rPr>
        <w:t>在职在编人员参赛不受限制，可直接上场。</w:t>
      </w:r>
    </w:p>
    <w:p w14:paraId="4DA2F67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三）</w:t>
      </w:r>
      <w:r>
        <w:rPr>
          <w:rFonts w:hint="eastAsia" w:ascii="仿宋_GB2312" w:hAnsi="仿宋_GB2312" w:eastAsia="仿宋_GB2312" w:cs="仿宋_GB2312"/>
          <w:color w:val="000000"/>
          <w:sz w:val="32"/>
          <w:szCs w:val="32"/>
          <w:bdr w:val="none" w:color="auto" w:sz="0" w:space="0"/>
        </w:rPr>
        <w:t>建议为联赛后三名队伍制定专项支持政策。</w:t>
      </w:r>
    </w:p>
    <w:p w14:paraId="01877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十、郴州建议</w:t>
      </w:r>
    </w:p>
    <w:p w14:paraId="78156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省内内援参赛选择优先级：优先遵从户籍所在地市意见，代表户籍所在地市参加 2026 赛季赛事；其次由 2025 赛季参赛队决定是否留用该球员；若户籍所在地市及 2025 赛季球队均未选择，该球员可转会至其他球队。</w:t>
      </w:r>
    </w:p>
    <w:p w14:paraId="32DF3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bdr w:val="none" w:color="auto" w:sz="0" w:space="0"/>
        </w:rPr>
        <w:t>2027 赛季参赛资格户籍及社保要求：球员户籍入籍时间需在 2026 年 1 月 1 日之前，且需连续缴纳 12 个月以上社保，方可取得代表户口所在地参赛的资格。</w:t>
      </w:r>
    </w:p>
    <w:p w14:paraId="673E4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三）</w:t>
      </w:r>
      <w:r>
        <w:rPr>
          <w:rFonts w:hint="eastAsia" w:ascii="仿宋_GB2312" w:hAnsi="仿宋_GB2312" w:eastAsia="仿宋_GB2312" w:cs="仿宋_GB2312"/>
          <w:color w:val="000000"/>
          <w:sz w:val="32"/>
          <w:szCs w:val="32"/>
          <w:bdr w:val="none" w:color="auto" w:sz="0" w:space="0"/>
        </w:rPr>
        <w:t>高中生球员参赛优先级：所有高中生球员参赛，优先以户籍作为参赛依据，其次再参考学籍。</w:t>
      </w:r>
    </w:p>
    <w:p w14:paraId="067ED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color w:val="000000"/>
          <w:sz w:val="32"/>
          <w:szCs w:val="32"/>
          <w:bdr w:val="none" w:color="auto" w:sz="0" w:space="0"/>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bdr w:val="none" w:color="auto" w:sz="0" w:space="0"/>
        </w:rPr>
        <w:t>外援参赛规则：赛事可注册 5 名外援，允许 2025 年 1 月 1 日之后入户的人员纳入外援名额参赛。</w:t>
      </w:r>
    </w:p>
    <w:p w14:paraId="733626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bdr w:val="none" w:color="auto" w:sz="0" w:space="0"/>
          <w:lang w:val="en-US" w:eastAsia="zh-CN"/>
        </w:rPr>
        <w:t>十一、</w:t>
      </w:r>
      <w:r>
        <w:rPr>
          <w:rFonts w:hint="eastAsia" w:ascii="仿宋_GB2312" w:hAnsi="仿宋_GB2312" w:eastAsia="仿宋_GB2312" w:cs="仿宋_GB2312"/>
          <w:b/>
          <w:bCs/>
          <w:color w:val="000000"/>
          <w:sz w:val="32"/>
          <w:szCs w:val="32"/>
          <w:bdr w:val="none" w:color="auto" w:sz="0" w:space="0"/>
        </w:rPr>
        <w:t>张家界建议</w:t>
      </w:r>
    </w:p>
    <w:p w14:paraId="5E25978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非湖南户籍人员建议禁止参加湘超联赛。</w:t>
      </w:r>
    </w:p>
    <w:p w14:paraId="463A0AB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二）</w:t>
      </w:r>
      <w:r>
        <w:rPr>
          <w:rFonts w:hint="eastAsia" w:ascii="仿宋_GB2312" w:hAnsi="仿宋_GB2312" w:eastAsia="仿宋_GB2312" w:cs="仿宋_GB2312"/>
          <w:color w:val="000000"/>
          <w:sz w:val="32"/>
          <w:szCs w:val="32"/>
          <w:bdr w:val="none" w:color="auto" w:sz="0" w:space="0"/>
        </w:rPr>
        <w:t>建议为联赛后三名队伍制定专项经济扶持政策。</w:t>
      </w:r>
    </w:p>
    <w:p w14:paraId="18DAEA6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三）</w:t>
      </w:r>
      <w:r>
        <w:rPr>
          <w:rFonts w:hint="eastAsia" w:ascii="仿宋_GB2312" w:hAnsi="仿宋_GB2312" w:eastAsia="仿宋_GB2312" w:cs="仿宋_GB2312"/>
          <w:color w:val="000000"/>
          <w:sz w:val="32"/>
          <w:szCs w:val="32"/>
          <w:bdr w:val="none" w:color="auto" w:sz="0" w:space="0"/>
        </w:rPr>
        <w:t>中学生参赛名额建议维持 3 个。</w:t>
      </w:r>
    </w:p>
    <w:p w14:paraId="178B466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四</w:t>
      </w: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rPr>
        <w:t>2025 年 1 月 1 日及以后落户湖南的人员，建议按内援身份认定参赛资格。</w:t>
      </w:r>
    </w:p>
    <w:p w14:paraId="17F01C6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bdr w:val="none" w:color="auto" w:sz="0" w:space="0"/>
        </w:rPr>
      </w:pPr>
      <w:r>
        <w:rPr>
          <w:rFonts w:hint="eastAsia" w:ascii="仿宋_GB2312" w:hAnsi="仿宋_GB2312" w:eastAsia="仿宋_GB2312" w:cs="仿宋_GB2312"/>
          <w:color w:val="000000"/>
          <w:sz w:val="32"/>
          <w:szCs w:val="32"/>
          <w:bdr w:val="none" w:color="auto" w:sz="0" w:space="0"/>
        </w:rPr>
        <w:t>针对薪酬设置，建议下调大学生球员薪酬标准，同时适当提高内援球员薪酬水平。</w:t>
      </w:r>
    </w:p>
    <w:p w14:paraId="7E78780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b/>
          <w:bCs/>
          <w:color w:val="000000"/>
          <w:sz w:val="32"/>
          <w:szCs w:val="32"/>
          <w:bdr w:val="none" w:color="auto" w:sz="0" w:space="0"/>
          <w:lang w:val="en-US" w:eastAsia="zh-CN"/>
        </w:rPr>
      </w:pPr>
      <w:r>
        <w:rPr>
          <w:rFonts w:hint="eastAsia" w:ascii="仿宋_GB2312" w:hAnsi="仿宋_GB2312" w:eastAsia="仿宋_GB2312" w:cs="仿宋_GB2312"/>
          <w:b/>
          <w:bCs/>
          <w:color w:val="000000"/>
          <w:sz w:val="32"/>
          <w:szCs w:val="32"/>
          <w:bdr w:val="none" w:color="auto" w:sz="0" w:space="0"/>
          <w:lang w:val="en-US" w:eastAsia="zh-CN"/>
        </w:rPr>
        <w:t>衡阳建议</w:t>
      </w:r>
    </w:p>
    <w:p w14:paraId="552850C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rPr>
        <w:t>高中生球员参赛资格认定，</w:t>
      </w:r>
      <w:r>
        <w:rPr>
          <w:rStyle w:val="5"/>
          <w:rFonts w:hint="eastAsia" w:ascii="仿宋_GB2312" w:hAnsi="仿宋_GB2312" w:eastAsia="仿宋_GB2312" w:cs="仿宋_GB2312"/>
          <w:b/>
          <w:bCs/>
          <w:color w:val="1F2329"/>
          <w:sz w:val="32"/>
          <w:szCs w:val="32"/>
        </w:rPr>
        <w:t>优先核验户籍信息</w:t>
      </w:r>
      <w:r>
        <w:rPr>
          <w:rFonts w:hint="eastAsia" w:ascii="仿宋_GB2312" w:hAnsi="仿宋_GB2312" w:eastAsia="仿宋_GB2312" w:cs="仿宋_GB2312"/>
          <w:color w:val="1F2329"/>
          <w:sz w:val="32"/>
          <w:szCs w:val="32"/>
        </w:rPr>
        <w:t>，户籍信息不符合参赛要求的，可核验其学籍信息，学籍需符合赛事组委会划定的区域及学段范围。</w:t>
      </w:r>
    </w:p>
    <w:p w14:paraId="307F202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仿宋_GB2312" w:hAnsi="仿宋_GB2312" w:eastAsia="仿宋_GB2312" w:cs="仿宋_GB2312"/>
          <w:color w:val="000000"/>
          <w:sz w:val="32"/>
          <w:szCs w:val="32"/>
          <w:bdr w:val="none" w:color="auto" w:sz="0" w:space="0"/>
          <w:lang w:val="en-US" w:eastAsia="zh-CN"/>
        </w:rPr>
      </w:pPr>
      <w:r>
        <w:rPr>
          <w:rFonts w:hint="eastAsia" w:ascii="仿宋_GB2312" w:hAnsi="仿宋_GB2312" w:eastAsia="仿宋_GB2312" w:cs="仿宋_GB2312"/>
          <w:color w:val="1F2329"/>
          <w:sz w:val="32"/>
          <w:szCs w:val="32"/>
        </w:rPr>
        <w:t>参赛球队可报名注册 5 名外援球员，其中，</w:t>
      </w:r>
      <w:r>
        <w:rPr>
          <w:rStyle w:val="5"/>
          <w:rFonts w:hint="eastAsia" w:ascii="仿宋_GB2312" w:hAnsi="仿宋_GB2312" w:eastAsia="仿宋_GB2312" w:cs="仿宋_GB2312"/>
          <w:b/>
          <w:bCs/>
          <w:color w:val="1F2329"/>
          <w:sz w:val="32"/>
          <w:szCs w:val="32"/>
        </w:rPr>
        <w:t>2025 年 1 月 1 日之后完成户籍迁入手续的外籍相关人员</w:t>
      </w:r>
      <w:r>
        <w:rPr>
          <w:rFonts w:hint="eastAsia" w:ascii="仿宋_GB2312" w:hAnsi="仿宋_GB2312" w:eastAsia="仿宋_GB2312" w:cs="仿宋_GB2312"/>
          <w:color w:val="1F2329"/>
          <w:sz w:val="32"/>
          <w:szCs w:val="32"/>
        </w:rPr>
        <w:t>，可纳入该外援名额范畴，户籍迁入需符合国家及湖南省户籍管理相关规定。（</w:t>
      </w: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 球员的转会及注册手续，</w:t>
      </w:r>
      <w:r>
        <w:rPr>
          <w:rStyle w:val="5"/>
          <w:rFonts w:hint="eastAsia" w:ascii="仿宋_GB2312" w:hAnsi="仿宋_GB2312" w:eastAsia="仿宋_GB2312" w:cs="仿宋_GB2312"/>
          <w:b/>
          <w:bCs/>
          <w:color w:val="1F2329"/>
          <w:sz w:val="32"/>
          <w:szCs w:val="32"/>
        </w:rPr>
        <w:t>须在湖南省足球协会管辖范围内完成</w:t>
      </w:r>
      <w:r>
        <w:rPr>
          <w:rFonts w:hint="eastAsia" w:ascii="仿宋_GB2312" w:hAnsi="仿宋_GB2312" w:eastAsia="仿宋_GB2312" w:cs="仿宋_GB2312"/>
          <w:color w:val="1F2329"/>
          <w:sz w:val="32"/>
          <w:szCs w:val="32"/>
        </w:rPr>
        <w:t>，注册主体需为赛事参赛球队，转会流程需严格遵守中国足球协会及湖南省足球协会的相关转会管理规定。（</w:t>
      </w: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 女子足球赛事各参赛队伍，在比赛过程中</w:t>
      </w:r>
      <w:r>
        <w:rPr>
          <w:rStyle w:val="5"/>
          <w:rFonts w:hint="eastAsia" w:ascii="仿宋_GB2312" w:hAnsi="仿宋_GB2312" w:eastAsia="仿宋_GB2312" w:cs="仿宋_GB2312"/>
          <w:b/>
          <w:bCs/>
          <w:color w:val="1F2329"/>
          <w:sz w:val="32"/>
          <w:szCs w:val="32"/>
        </w:rPr>
        <w:t>应保证一定数量的中学生、大学生球员登场参赛</w:t>
      </w:r>
      <w:r>
        <w:rPr>
          <w:rFonts w:hint="eastAsia" w:ascii="仿宋_GB2312" w:hAnsi="仿宋_GB2312" w:eastAsia="仿宋_GB2312" w:cs="仿宋_GB2312"/>
          <w:color w:val="1F2329"/>
          <w:sz w:val="32"/>
          <w:szCs w:val="32"/>
        </w:rPr>
        <w:t>，具体上场人次及时长要求，由赛事组委会另行制定。（</w:t>
      </w: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 本次赛事相关的球员薪酬方案，经各参赛主体及相关方沟通确认，</w:t>
      </w:r>
      <w:r>
        <w:rPr>
          <w:rStyle w:val="5"/>
          <w:rFonts w:hint="eastAsia" w:ascii="仿宋_GB2312" w:hAnsi="仿宋_GB2312" w:eastAsia="仿宋_GB2312" w:cs="仿宋_GB2312"/>
          <w:b/>
          <w:bCs/>
          <w:color w:val="1F2329"/>
          <w:sz w:val="32"/>
          <w:szCs w:val="32"/>
        </w:rPr>
        <w:t>各方均无异议</w:t>
      </w:r>
      <w:r>
        <w:rPr>
          <w:rFonts w:hint="eastAsia" w:ascii="仿宋_GB2312" w:hAnsi="仿宋_GB2312" w:eastAsia="仿宋_GB2312" w:cs="仿宋_GB2312"/>
          <w:color w:val="1F2329"/>
          <w:sz w:val="32"/>
          <w:szCs w:val="32"/>
        </w:rPr>
        <w:t>，赛事期间按既定方案执行。</w:t>
      </w:r>
    </w:p>
    <w:p w14:paraId="148F2D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bdr w:val="none" w:color="auto" w:sz="0" w:space="0"/>
          <w:lang w:val="en-US" w:eastAsia="zh-CN"/>
        </w:rPr>
        <w:t>十三、</w:t>
      </w:r>
      <w:r>
        <w:rPr>
          <w:rFonts w:hint="eastAsia" w:ascii="仿宋_GB2312" w:hAnsi="仿宋_GB2312" w:eastAsia="仿宋_GB2312" w:cs="仿宋_GB2312"/>
          <w:b/>
          <w:bCs/>
          <w:color w:val="000000"/>
          <w:sz w:val="32"/>
          <w:szCs w:val="32"/>
          <w:bdr w:val="none" w:color="auto" w:sz="0" w:space="0"/>
        </w:rPr>
        <w:t>岳阳建议</w:t>
      </w:r>
    </w:p>
    <w:p w14:paraId="676086B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一）</w:t>
      </w:r>
      <w:r>
        <w:rPr>
          <w:rFonts w:hint="eastAsia" w:ascii="仿宋_GB2312" w:hAnsi="仿宋_GB2312" w:eastAsia="仿宋_GB2312" w:cs="仿宋_GB2312"/>
          <w:color w:val="000000"/>
          <w:sz w:val="32"/>
          <w:szCs w:val="32"/>
          <w:bdr w:val="none" w:color="auto" w:sz="0" w:space="0"/>
        </w:rPr>
        <w:t>建议提升湘超联赛的赛事观赏性。</w:t>
      </w:r>
    </w:p>
    <w:p w14:paraId="1B68D32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二）</w:t>
      </w:r>
      <w:r>
        <w:rPr>
          <w:rFonts w:hint="eastAsia" w:ascii="仿宋_GB2312" w:hAnsi="仿宋_GB2312" w:eastAsia="仿宋_GB2312" w:cs="仿宋_GB2312"/>
          <w:color w:val="000000"/>
          <w:sz w:val="32"/>
          <w:szCs w:val="32"/>
          <w:bdr w:val="none" w:color="auto" w:sz="0" w:space="0"/>
        </w:rPr>
        <w:t>建议在湘超赛事各项工作中融入创新举措，推动赛事提质。</w:t>
      </w:r>
    </w:p>
    <w:p w14:paraId="1BB3CD1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三）</w:t>
      </w:r>
      <w:r>
        <w:rPr>
          <w:rFonts w:hint="eastAsia" w:ascii="仿宋_GB2312" w:hAnsi="仿宋_GB2312" w:eastAsia="仿宋_GB2312" w:cs="仿宋_GB2312"/>
          <w:color w:val="000000"/>
          <w:sz w:val="32"/>
          <w:szCs w:val="32"/>
          <w:bdr w:val="none" w:color="auto" w:sz="0" w:space="0"/>
        </w:rPr>
        <w:t>希望进一步规范赛事组织工作，重点完善票务管理、广告运营及整体赛事统筹等环节。</w:t>
      </w:r>
    </w:p>
    <w:p w14:paraId="5BDB979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四）</w:t>
      </w:r>
      <w:r>
        <w:rPr>
          <w:rFonts w:hint="eastAsia" w:ascii="仿宋_GB2312" w:hAnsi="仿宋_GB2312" w:eastAsia="仿宋_GB2312" w:cs="仿宋_GB2312"/>
          <w:color w:val="000000"/>
          <w:sz w:val="32"/>
          <w:szCs w:val="32"/>
          <w:bdr w:val="none" w:color="auto" w:sz="0" w:space="0"/>
        </w:rPr>
        <w:t>建议对赛事相关薪酬情况开展全面调查（原文 “温泉” 疑为笔误，已修正为 “全面”）。</w:t>
      </w:r>
    </w:p>
    <w:p w14:paraId="7359565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五）</w:t>
      </w:r>
      <w:r>
        <w:rPr>
          <w:rFonts w:hint="eastAsia" w:ascii="仿宋_GB2312" w:hAnsi="仿宋_GB2312" w:eastAsia="仿宋_GB2312" w:cs="仿宋_GB2312"/>
          <w:color w:val="000000"/>
          <w:sz w:val="32"/>
          <w:szCs w:val="32"/>
          <w:bdr w:val="none" w:color="auto" w:sz="0" w:space="0"/>
        </w:rPr>
        <w:t>指出 2027 赛季竞赛规程中户籍相关条款存在重复问题，建议梳理优化。</w:t>
      </w:r>
    </w:p>
    <w:p w14:paraId="13C63A3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hAnsi="仿宋_GB2312" w:eastAsia="仿宋_GB2312" w:cs="仿宋_GB2312"/>
          <w:color w:val="000000"/>
          <w:sz w:val="32"/>
          <w:szCs w:val="32"/>
          <w:bdr w:val="none" w:color="auto" w:sz="0" w:space="0"/>
        </w:rPr>
      </w:pPr>
      <w:r>
        <w:rPr>
          <w:rFonts w:hint="eastAsia" w:ascii="仿宋_GB2312" w:hAnsi="仿宋_GB2312" w:eastAsia="仿宋_GB2312" w:cs="仿宋_GB2312"/>
          <w:color w:val="000000"/>
          <w:sz w:val="32"/>
          <w:szCs w:val="32"/>
          <w:bdr w:val="none" w:color="auto" w:sz="0" w:space="0"/>
          <w:lang w:eastAsia="zh-CN"/>
        </w:rPr>
        <w:t>（</w:t>
      </w:r>
      <w:r>
        <w:rPr>
          <w:rFonts w:hint="eastAsia" w:ascii="仿宋_GB2312" w:hAnsi="仿宋_GB2312" w:eastAsia="仿宋_GB2312" w:cs="仿宋_GB2312"/>
          <w:color w:val="000000"/>
          <w:sz w:val="32"/>
          <w:szCs w:val="32"/>
          <w:bdr w:val="none" w:color="auto" w:sz="0" w:space="0"/>
          <w:lang w:val="en-US" w:eastAsia="zh-CN"/>
        </w:rPr>
        <w:t>六）</w:t>
      </w:r>
      <w:r>
        <w:rPr>
          <w:rFonts w:hint="eastAsia" w:ascii="仿宋_GB2312" w:hAnsi="仿宋_GB2312" w:eastAsia="仿宋_GB2312" w:cs="仿宋_GB2312"/>
          <w:color w:val="000000"/>
          <w:sz w:val="32"/>
          <w:szCs w:val="32"/>
          <w:bdr w:val="none" w:color="auto" w:sz="0" w:space="0"/>
        </w:rPr>
        <w:t>建议允许 2025 年退役的中职业队员参加湘超联赛。</w:t>
      </w:r>
    </w:p>
    <w:p w14:paraId="46132CD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仿宋_GB2312" w:hAnsi="仿宋_GB2312" w:eastAsia="仿宋_GB2312" w:cs="仿宋_GB2312"/>
          <w:sz w:val="32"/>
          <w:szCs w:val="32"/>
        </w:rPr>
      </w:pPr>
      <w:bookmarkStart w:id="7" w:name="_GoBack"/>
      <w:bookmarkEnd w:id="7"/>
      <w:r>
        <w:rPr>
          <w:rFonts w:hint="eastAsia" w:ascii="仿宋_GB2312" w:hAnsi="仿宋_GB2312" w:eastAsia="仿宋_GB2312" w:cs="仿宋_GB2312"/>
          <w:b/>
          <w:sz w:val="32"/>
          <w:szCs w:val="32"/>
          <w:lang w:val="en-US" w:eastAsia="zh-CN"/>
        </w:rPr>
        <w:t>十四、</w:t>
      </w:r>
      <w:r>
        <w:rPr>
          <w:rFonts w:hint="eastAsia" w:ascii="仿宋_GB2312" w:hAnsi="仿宋_GB2312" w:eastAsia="仿宋_GB2312" w:cs="仿宋_GB2312"/>
          <w:b/>
          <w:sz w:val="32"/>
          <w:szCs w:val="32"/>
        </w:rPr>
        <w:t>株洲建议</w:t>
      </w:r>
    </w:p>
    <w:p w14:paraId="2A49B965">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坚守赛事初心，打造纯粹的湘超联赛，摒弃非竞技干扰因素。</w:t>
      </w:r>
    </w:p>
    <w:p w14:paraId="78B8D80D">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坚持以人为中心的办赛理念，紧扣市民喜好与需求，聚焦赛事本身，深耕纯粹足球赛事。</w:t>
      </w:r>
    </w:p>
    <w:p w14:paraId="30D884DE">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坚决杜绝金元足球乱象，引导企业、政府力量合理参与，助力引进的足球人才扎根湖南；建立完善证据链核查机制，对违规球队实施严肃处罚，维护赛事公平公正。</w:t>
      </w:r>
    </w:p>
    <w:p w14:paraId="4453C1EF">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深耕草根足球领域，树立民众认可的足球榜样，以榜样力量带动各市州青少年足球事业发展，夯实足球人才根基。</w:t>
      </w:r>
    </w:p>
    <w:p w14:paraId="6303A4C7">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建议延长职业球员参赛的相关要求（如退役年限、参赛限制等），进一步规范职业球员参赛管理。</w:t>
      </w:r>
    </w:p>
    <w:p w14:paraId="62057429">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明确薪酬与赞助费的管控标准，将赞助费纳入薪酬管控体系，合理限制赞助费使用及薪酬上限，避免无序竞争。</w:t>
      </w:r>
    </w:p>
    <w:p w14:paraId="2033F923">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强化2025赛季内援球员资格审核与管理，做好舆情预判与应对工作，及时化解潜在舆情风险。</w:t>
      </w:r>
    </w:p>
    <w:p w14:paraId="2574A877">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统筹协调湘超赛事时间，避免与湘BA、厂BA赛事时间冲突，保障赛事关注度与观赛体验。</w:t>
      </w:r>
    </w:p>
    <w:p w14:paraId="157B8ECF">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建议将湘女超赛事时间调整至下半年，同时保留中学生参赛名额及相关组别。</w:t>
      </w:r>
    </w:p>
    <w:p w14:paraId="78BA53FD">
      <w:pPr>
        <w:keepNext w:val="0"/>
        <w:keepLines w:val="0"/>
        <w:pageBreakBefore w:val="0"/>
        <w:numPr>
          <w:numId w:val="0"/>
        </w:numPr>
        <w:kinsoku/>
        <w:wordWrap/>
        <w:overflowPunct/>
        <w:topLinePunct w:val="0"/>
        <w:autoSpaceDE/>
        <w:autoSpaceDN/>
        <w:bidi w:val="0"/>
        <w:adjustRightInd/>
        <w:snapToGrid/>
        <w:spacing w:before="120" w:after="120" w:line="360" w:lineRule="auto"/>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建议尽早下发赛事竞赛规程，为各参赛队伍、地市筹备工作预留充足时间。</w:t>
      </w:r>
    </w:p>
    <w:p w14:paraId="35B8B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outlineLvl w:val="9"/>
        <w:rPr>
          <w:rFonts w:hint="eastAsia" w:ascii="仿宋_GB2312" w:hAnsi="仿宋_GB2312" w:eastAsia="仿宋_GB2312" w:cs="仿宋_GB2312"/>
          <w:color w:val="000000"/>
          <w:sz w:val="32"/>
          <w:szCs w:val="32"/>
          <w:bdr w:val="none" w:color="auto" w:sz="0" w:space="0"/>
        </w:rPr>
      </w:pPr>
    </w:p>
    <w:p w14:paraId="6914CE78">
      <w:pPr>
        <w:keepNext w:val="0"/>
        <w:keepLines w:val="0"/>
        <w:pageBreakBefore w:val="0"/>
        <w:numPr>
          <w:numId w:val="0"/>
        </w:numPr>
        <w:kinsoku/>
        <w:wordWrap/>
        <w:overflowPunct/>
        <w:topLinePunct w:val="0"/>
        <w:autoSpaceDE/>
        <w:autoSpaceDN/>
        <w:bidi w:val="0"/>
        <w:adjustRightInd/>
        <w:snapToGrid/>
        <w:spacing w:line="360" w:lineRule="auto"/>
        <w:ind w:lef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14A1BB8C">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30E82"/>
    <w:multiLevelType w:val="singleLevel"/>
    <w:tmpl w:val="E5930E82"/>
    <w:lvl w:ilvl="0" w:tentative="0">
      <w:start w:val="12"/>
      <w:numFmt w:val="chineseCounting"/>
      <w:suff w:val="nothing"/>
      <w:lvlText w:val="%1、"/>
      <w:lvlJc w:val="left"/>
      <w:rPr>
        <w:rFonts w:hint="eastAsia"/>
      </w:rPr>
    </w:lvl>
  </w:abstractNum>
  <w:abstractNum w:abstractNumId="1">
    <w:nsid w:val="683F280C"/>
    <w:multiLevelType w:val="singleLevel"/>
    <w:tmpl w:val="683F280C"/>
    <w:lvl w:ilvl="0" w:tentative="0">
      <w:start w:val="5"/>
      <w:numFmt w:val="chineseCounting"/>
      <w:suff w:val="nothing"/>
      <w:lvlText w:val="（%1）"/>
      <w:lvlJc w:val="left"/>
      <w:rPr>
        <w:rFonts w:hint="eastAsia"/>
      </w:rPr>
    </w:lvl>
  </w:abstractNum>
  <w:abstractNum w:abstractNumId="2">
    <w:nsid w:val="6E7F39AB"/>
    <w:multiLevelType w:val="singleLevel"/>
    <w:tmpl w:val="6E7F39AB"/>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F7033"/>
    <w:rsid w:val="6D2F7033"/>
    <w:rsid w:val="7C05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2026-01-23T01:35:00Z</dcterms:created>
  <dc:creator>李大大「super man」</dc:creator>
  <cp:lastModifiedBy>李大大「super man」</cp:lastModifiedBy>
  <dcterms:modified xsi:type="dcterms:W3CDTF">2026-01-23T02:41:02Z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891FC42F78E34B4AB73688165520C446_11</vt:lpwstr>
  </property>
  <property fmtid="{D5CDD505-2E9C-101B-9397-08002B2CF9AE}" pid="4" name="KSOTemplateDocerSaveRecord">
    <vt:lpwstr>eyJoZGlkIjoiNTUxMzliNjQ4MDNiMjFhZjM5MTgzMzU0ZDVmMWMwMTgiLCJ1c2VySWQiOiIzODMyMjQ2NDUifQ==</vt:lpwstr>
  </property>
</Properties>
</file>